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50" w:type="dxa"/>
        <w:tblCellSpacing w:w="0" w:type="dxa"/>
        <w:tblCellMar>
          <w:left w:w="0" w:type="dxa"/>
          <w:right w:w="0" w:type="dxa"/>
        </w:tblCellMar>
        <w:tblLook w:val="0000" w:firstRow="0" w:lastRow="0" w:firstColumn="0" w:lastColumn="0" w:noHBand="0" w:noVBand="0"/>
      </w:tblPr>
      <w:tblGrid>
        <w:gridCol w:w="9750"/>
      </w:tblGrid>
      <w:tr w:rsidR="008E7FF9" w:rsidRPr="001F6593">
        <w:trPr>
          <w:trHeight w:val="345"/>
          <w:tblCellSpacing w:w="0" w:type="dxa"/>
        </w:trPr>
        <w:tc>
          <w:tcPr>
            <w:tcW w:w="0" w:type="auto"/>
            <w:vAlign w:val="center"/>
          </w:tcPr>
          <w:p w:rsidR="008E7FF9" w:rsidRPr="001F6593" w:rsidRDefault="008E7FF9">
            <w:pPr>
              <w:jc w:val="center"/>
              <w:rPr>
                <w:color w:val="000000"/>
                <w:sz w:val="28"/>
                <w:szCs w:val="28"/>
              </w:rPr>
            </w:pPr>
            <w:r w:rsidRPr="001F6593">
              <w:rPr>
                <w:b/>
                <w:bCs/>
                <w:sz w:val="28"/>
                <w:szCs w:val="28"/>
              </w:rPr>
              <w:t> </w:t>
            </w:r>
            <w:r w:rsidRPr="001F6593">
              <w:rPr>
                <w:b/>
                <w:bCs/>
                <w:i/>
                <w:iCs/>
                <w:sz w:val="28"/>
                <w:szCs w:val="28"/>
              </w:rPr>
              <w:t>Descubrimiento del electrón</w:t>
            </w:r>
          </w:p>
        </w:tc>
      </w:tr>
    </w:tbl>
    <w:p w:rsidR="008E7FF9" w:rsidRPr="001F6593" w:rsidRDefault="008E7FF9">
      <w:pPr>
        <w:rPr>
          <w:vanish/>
        </w:rPr>
      </w:pPr>
    </w:p>
    <w:tbl>
      <w:tblPr>
        <w:tblW w:w="9750" w:type="dxa"/>
        <w:tblCellSpacing w:w="0" w:type="dxa"/>
        <w:tblCellMar>
          <w:left w:w="0" w:type="dxa"/>
          <w:right w:w="0" w:type="dxa"/>
        </w:tblCellMar>
        <w:tblLook w:val="0000" w:firstRow="0" w:lastRow="0" w:firstColumn="0" w:lastColumn="0" w:noHBand="0" w:noVBand="0"/>
      </w:tblPr>
      <w:tblGrid>
        <w:gridCol w:w="143"/>
        <w:gridCol w:w="9607"/>
      </w:tblGrid>
      <w:tr w:rsidR="008E7FF9" w:rsidRPr="001F6593" w:rsidTr="00611399">
        <w:trPr>
          <w:tblCellSpacing w:w="0" w:type="dxa"/>
        </w:trPr>
        <w:tc>
          <w:tcPr>
            <w:tcW w:w="143" w:type="dxa"/>
            <w:vAlign w:val="center"/>
          </w:tcPr>
          <w:p w:rsidR="008E7FF9" w:rsidRPr="001F6593" w:rsidRDefault="008E7FF9">
            <w:pPr>
              <w:rPr>
                <w:color w:val="000000"/>
              </w:rPr>
            </w:pPr>
            <w:r w:rsidRPr="001F6593">
              <w:t> </w:t>
            </w:r>
          </w:p>
        </w:tc>
        <w:tc>
          <w:tcPr>
            <w:tcW w:w="9607" w:type="dxa"/>
          </w:tcPr>
          <w:p w:rsidR="00AF2EBE" w:rsidRPr="001F6593" w:rsidRDefault="008E7FF9">
            <w:r w:rsidRPr="001F6593">
              <w:br/>
              <w:t xml:space="preserve">La primera evidencia de la existencia de </w:t>
            </w:r>
            <w:r w:rsidRPr="001F6593">
              <w:rPr>
                <w:i/>
                <w:iCs/>
              </w:rPr>
              <w:t>partículas subatómicas</w:t>
            </w:r>
            <w:r w:rsidRPr="001F6593">
              <w:t xml:space="preserve"> y por tanto de que los átomos no eran indivisibles como postulaba la teoría atómica de Dalton, se obtuvo de los estudios de la conductividad eléctrica de gases a bajas presiones.</w:t>
            </w:r>
            <w:r w:rsidRPr="001F6593">
              <w:br/>
              <w:t xml:space="preserve">Los gases son aislantes para voltajes bajos, sin embargo, frente a voltajes elevados se vuelven conductores. Cuando en un tubo de vidrio que contiene un gas se hace parcialmente el vacío y se aplica un voltaje de varios miles de voltios, fluye una corriente eléctrica a través de él. Asociado a este flujo eléctrico, el gas encerrado en el tubo emite unos rayos de luz de colores, denominados </w:t>
            </w:r>
            <w:r w:rsidRPr="001F6593">
              <w:rPr>
                <w:b/>
                <w:bCs/>
              </w:rPr>
              <w:t>rayos catódicos</w:t>
            </w:r>
            <w:r w:rsidR="00AF2EBE" w:rsidRPr="001F6593">
              <w:t>.</w:t>
            </w:r>
          </w:p>
          <w:p w:rsidR="00AF2EBE" w:rsidRPr="001F6593" w:rsidRDefault="00AF2EBE">
            <w:r w:rsidRPr="001F6593">
              <w:t>Estos rayos:</w:t>
            </w:r>
          </w:p>
          <w:p w:rsidR="00AF2EBE" w:rsidRPr="001F6593" w:rsidRDefault="00AF2EBE" w:rsidP="00AF2EBE">
            <w:pPr>
              <w:numPr>
                <w:ilvl w:val="0"/>
                <w:numId w:val="1"/>
              </w:numPr>
              <w:rPr>
                <w:color w:val="000000"/>
              </w:rPr>
            </w:pPr>
            <w:r w:rsidRPr="001F6593">
              <w:t>Están formados por partículas negativas que se propagan en línea recta hacia el polo positivo o ánodo.</w:t>
            </w:r>
          </w:p>
          <w:p w:rsidR="00550DF0" w:rsidRPr="001F6593" w:rsidRDefault="00AF2EBE" w:rsidP="00550DF0">
            <w:pPr>
              <w:numPr>
                <w:ilvl w:val="0"/>
                <w:numId w:val="1"/>
              </w:numPr>
              <w:rPr>
                <w:color w:val="000000"/>
              </w:rPr>
            </w:pPr>
            <w:r w:rsidRPr="001F6593">
              <w:t>Tienen masa apreciable</w:t>
            </w:r>
            <w:r w:rsidR="00550DF0" w:rsidRPr="001F6593">
              <w:t xml:space="preserve"> </w:t>
            </w:r>
            <w:r w:rsidR="00550DF0" w:rsidRPr="001F6593">
              <w:sym w:font="Wingdings" w:char="F0E8"/>
            </w:r>
            <w:r w:rsidR="00550DF0" w:rsidRPr="001F6593">
              <w:t xml:space="preserve"> Son partículas negativas.</w:t>
            </w:r>
          </w:p>
          <w:p w:rsidR="004C331E" w:rsidRPr="001F6593" w:rsidRDefault="004C331E" w:rsidP="004C331E">
            <w:pPr>
              <w:ind w:left="420"/>
            </w:pPr>
          </w:p>
          <w:p w:rsidR="008E7FF9" w:rsidRPr="001F6593" w:rsidRDefault="00550DF0" w:rsidP="00611399">
            <w:pPr>
              <w:ind w:left="-1"/>
              <w:rPr>
                <w:color w:val="000000"/>
              </w:rPr>
            </w:pPr>
            <w:r w:rsidRPr="001F6593">
              <w:t>Se comprobó</w:t>
            </w:r>
            <w:r w:rsidR="004C331E" w:rsidRPr="001F6593">
              <w:t xml:space="preserve"> </w:t>
            </w:r>
            <w:r w:rsidRPr="001F6593">
              <w:t>que estas partículas eran siempre idénticas, indepen</w:t>
            </w:r>
            <w:r w:rsidR="004C331E" w:rsidRPr="001F6593">
              <w:t xml:space="preserve">dientemente del gas contenido en el tubo y del material del que estuviera hecho el cátodo. Por ello se concretó que debían ser  componentes básicos de cualquier átomo. Se les llamó </w:t>
            </w:r>
            <w:r w:rsidR="00611399" w:rsidRPr="001F6593">
              <w:rPr>
                <w:b/>
                <w:i/>
              </w:rPr>
              <w:t>electrones</w:t>
            </w:r>
            <w:r w:rsidR="00611399" w:rsidRPr="001F6593">
              <w:t xml:space="preserve"> </w:t>
            </w:r>
          </w:p>
        </w:tc>
      </w:tr>
      <w:tr w:rsidR="00AF2EBE" w:rsidRPr="001F6593" w:rsidTr="00611399">
        <w:trPr>
          <w:tblCellSpacing w:w="0" w:type="dxa"/>
        </w:trPr>
        <w:tc>
          <w:tcPr>
            <w:tcW w:w="143" w:type="dxa"/>
            <w:vAlign w:val="center"/>
          </w:tcPr>
          <w:p w:rsidR="00AF2EBE" w:rsidRPr="001F6593" w:rsidRDefault="00AF2EBE"/>
        </w:tc>
        <w:tc>
          <w:tcPr>
            <w:tcW w:w="9607" w:type="dxa"/>
          </w:tcPr>
          <w:p w:rsidR="00AF2EBE" w:rsidRPr="001F6593" w:rsidRDefault="00AF2EBE"/>
        </w:tc>
      </w:tr>
      <w:tr w:rsidR="008E7FF9" w:rsidRPr="001F6593" w:rsidTr="00611399">
        <w:trPr>
          <w:trHeight w:val="3540"/>
          <w:tblCellSpacing w:w="0" w:type="dxa"/>
        </w:trPr>
        <w:tc>
          <w:tcPr>
            <w:tcW w:w="9750" w:type="dxa"/>
            <w:gridSpan w:val="2"/>
            <w:vAlign w:val="center"/>
          </w:tcPr>
          <w:p w:rsidR="008E7FF9" w:rsidRPr="001F6593" w:rsidRDefault="00E54A78">
            <w:pPr>
              <w:jc w:val="center"/>
              <w:rPr>
                <w:color w:val="000000"/>
              </w:rPr>
            </w:pPr>
            <w:r w:rsidRPr="001F6593">
              <w:rPr>
                <w:noProof/>
                <w:color w:val="000000"/>
              </w:rPr>
              <w:drawing>
                <wp:inline distT="0" distB="0" distL="0" distR="0" wp14:anchorId="1EE80734" wp14:editId="46691A86">
                  <wp:extent cx="3065145" cy="862965"/>
                  <wp:effectExtent l="0" t="0" r="0" b="0"/>
                  <wp:docPr id="1" name="Imagen 1" descr="tubo_c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bo_ca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65145" cy="862965"/>
                          </a:xfrm>
                          <a:prstGeom prst="rect">
                            <a:avLst/>
                          </a:prstGeom>
                          <a:noFill/>
                          <a:ln>
                            <a:noFill/>
                          </a:ln>
                        </pic:spPr>
                      </pic:pic>
                    </a:graphicData>
                  </a:graphic>
                </wp:inline>
              </w:drawing>
            </w:r>
          </w:p>
        </w:tc>
      </w:tr>
    </w:tbl>
    <w:p w:rsidR="00611399" w:rsidRPr="001F6593" w:rsidRDefault="004C331E">
      <w:pPr>
        <w:rPr>
          <w:b/>
          <w:i/>
          <w:vanish/>
        </w:rPr>
      </w:pPr>
      <w:r w:rsidRPr="001F6593">
        <w:rPr>
          <w:vanish/>
        </w:rPr>
        <w:t>El descubrimiento del electrón hizo pensar en la posible existencia de otra p</w:t>
      </w:r>
      <w:r w:rsidR="00611399" w:rsidRPr="001F6593">
        <w:rPr>
          <w:vanish/>
        </w:rPr>
        <w:t>artícula positiva. Más tarde fue</w:t>
      </w:r>
      <w:r w:rsidRPr="001F6593">
        <w:rPr>
          <w:vanish/>
        </w:rPr>
        <w:t xml:space="preserve"> descubierta y se le denominó </w:t>
      </w:r>
      <w:r w:rsidRPr="001F6593">
        <w:rPr>
          <w:b/>
          <w:i/>
          <w:vanish/>
        </w:rPr>
        <w:t>protón.</w:t>
      </w:r>
    </w:p>
    <w:p w:rsidR="00611399" w:rsidRPr="001F6593" w:rsidRDefault="00611399">
      <w:pPr>
        <w:rPr>
          <w:b/>
          <w:i/>
          <w:vanish/>
        </w:rPr>
      </w:pPr>
    </w:p>
    <w:p w:rsidR="0082586E" w:rsidRPr="001F6593" w:rsidRDefault="00611399">
      <w:pPr>
        <w:rPr>
          <w:b/>
          <w:i/>
          <w:vanish/>
        </w:rPr>
      </w:pPr>
      <w:r w:rsidRPr="001F6593">
        <w:rPr>
          <w:b/>
          <w:i/>
          <w:vanish/>
        </w:rPr>
        <w:t>I</w:t>
      </w:r>
      <w:r w:rsidR="00DA2F0A" w:rsidRPr="001F6593">
        <w:rPr>
          <w:b/>
          <w:i/>
          <w:vanish/>
        </w:rPr>
        <w:t>mportancia del d</w:t>
      </w:r>
      <w:r w:rsidR="0082586E" w:rsidRPr="001F6593">
        <w:rPr>
          <w:b/>
          <w:i/>
          <w:vanish/>
        </w:rPr>
        <w:t>e</w:t>
      </w:r>
      <w:r w:rsidR="00DA2F0A" w:rsidRPr="001F6593">
        <w:rPr>
          <w:b/>
          <w:i/>
          <w:vanish/>
        </w:rPr>
        <w:t>scubrimiento del electrón</w:t>
      </w:r>
      <w:r w:rsidR="0082586E" w:rsidRPr="001F6593">
        <w:rPr>
          <w:b/>
          <w:i/>
          <w:vanish/>
        </w:rPr>
        <w:t>:</w:t>
      </w:r>
    </w:p>
    <w:p w:rsidR="0082586E" w:rsidRPr="001F6593" w:rsidRDefault="0082586E">
      <w:pPr>
        <w:rPr>
          <w:vanish/>
        </w:rPr>
      </w:pPr>
      <w:r w:rsidRPr="001F6593">
        <w:rPr>
          <w:vanish/>
        </w:rPr>
        <w:t>Permite explicar fenómenos eléctricos.</w:t>
      </w:r>
    </w:p>
    <w:p w:rsidR="00623EEF" w:rsidRPr="001F6593" w:rsidRDefault="00623EEF">
      <w:pPr>
        <w:rPr>
          <w:vanish/>
        </w:rPr>
      </w:pPr>
      <w:r w:rsidRPr="001F6593">
        <w:rPr>
          <w:vanish/>
        </w:rPr>
        <w:t>Explicar propiedades químicas de los elementos</w:t>
      </w:r>
    </w:p>
    <w:p w:rsidR="00DA2F0A" w:rsidRPr="001F6593" w:rsidRDefault="0082586E">
      <w:pPr>
        <w:rPr>
          <w:vanish/>
        </w:rPr>
      </w:pPr>
      <w:r w:rsidRPr="001F6593">
        <w:rPr>
          <w:vanish/>
        </w:rPr>
        <w:t>Demuestra la divisibilid</w:t>
      </w:r>
      <w:r w:rsidR="00623EEF" w:rsidRPr="001F6593">
        <w:rPr>
          <w:vanish/>
        </w:rPr>
        <w:t>ad</w:t>
      </w:r>
      <w:r w:rsidRPr="001F6593">
        <w:rPr>
          <w:vanish/>
        </w:rPr>
        <w:t xml:space="preserve"> del </w:t>
      </w:r>
      <w:r w:rsidR="00623EEF" w:rsidRPr="001F6593">
        <w:rPr>
          <w:vanish/>
        </w:rPr>
        <w:t xml:space="preserve">átomo y da pie al estudio de los diferentes modelos atómicos. </w:t>
      </w:r>
      <w:r w:rsidR="00DA2F0A" w:rsidRPr="001F6593">
        <w:rPr>
          <w:vanish/>
        </w:rPr>
        <w:t xml:space="preserve"> </w:t>
      </w:r>
    </w:p>
    <w:tbl>
      <w:tblPr>
        <w:tblW w:w="9750" w:type="dxa"/>
        <w:tblCellSpacing w:w="0" w:type="dxa"/>
        <w:tblCellMar>
          <w:left w:w="0" w:type="dxa"/>
          <w:right w:w="0" w:type="dxa"/>
        </w:tblCellMar>
        <w:tblLook w:val="0000" w:firstRow="0" w:lastRow="0" w:firstColumn="0" w:lastColumn="0" w:noHBand="0" w:noVBand="0"/>
      </w:tblPr>
      <w:tblGrid>
        <w:gridCol w:w="15"/>
        <w:gridCol w:w="134"/>
        <w:gridCol w:w="3426"/>
        <w:gridCol w:w="961"/>
        <w:gridCol w:w="3714"/>
        <w:gridCol w:w="1500"/>
      </w:tblGrid>
      <w:tr w:rsidR="008E7FF9" w:rsidRPr="001F6593" w:rsidTr="00623EEF">
        <w:trPr>
          <w:gridAfter w:val="1"/>
          <w:wAfter w:w="1500" w:type="dxa"/>
          <w:trHeight w:val="345"/>
          <w:tblCellSpacing w:w="0" w:type="dxa"/>
        </w:trPr>
        <w:tc>
          <w:tcPr>
            <w:tcW w:w="0" w:type="auto"/>
            <w:gridSpan w:val="5"/>
            <w:vAlign w:val="center"/>
          </w:tcPr>
          <w:p w:rsidR="008E7FF9" w:rsidRPr="001F6593" w:rsidRDefault="008E7FF9">
            <w:pPr>
              <w:jc w:val="center"/>
              <w:rPr>
                <w:color w:val="000000"/>
                <w:sz w:val="28"/>
                <w:szCs w:val="28"/>
              </w:rPr>
            </w:pPr>
            <w:r w:rsidRPr="001F6593">
              <w:rPr>
                <w:b/>
                <w:bCs/>
              </w:rPr>
              <w:t> </w:t>
            </w:r>
            <w:r w:rsidRPr="001F6593">
              <w:rPr>
                <w:b/>
                <w:bCs/>
                <w:i/>
                <w:iCs/>
                <w:sz w:val="28"/>
                <w:szCs w:val="28"/>
              </w:rPr>
              <w:t>Modelo atómico de Thomson</w:t>
            </w:r>
          </w:p>
        </w:tc>
      </w:tr>
      <w:tr w:rsidR="008E7FF9" w:rsidRPr="001F6593" w:rsidTr="001F6593">
        <w:trPr>
          <w:gridAfter w:val="1"/>
          <w:wAfter w:w="1500" w:type="dxa"/>
          <w:tblCellSpacing w:w="0" w:type="dxa"/>
        </w:trPr>
        <w:tc>
          <w:tcPr>
            <w:tcW w:w="3575" w:type="dxa"/>
            <w:gridSpan w:val="3"/>
            <w:vAlign w:val="center"/>
          </w:tcPr>
          <w:p w:rsidR="008E7FF9" w:rsidRPr="001F6593" w:rsidRDefault="00E54A78">
            <w:pPr>
              <w:rPr>
                <w:color w:val="000000"/>
              </w:rPr>
            </w:pPr>
            <w:r w:rsidRPr="001F6593">
              <w:rPr>
                <w:noProof/>
              </w:rPr>
              <w:drawing>
                <wp:inline distT="0" distB="0" distL="0" distR="0" wp14:anchorId="706FACF2" wp14:editId="074AB508">
                  <wp:extent cx="1906270" cy="1906270"/>
                  <wp:effectExtent l="0" t="0" r="0" b="0"/>
                  <wp:docPr id="2" name="Imagen 2" descr="mod_tho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d_thom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6270" cy="1906270"/>
                          </a:xfrm>
                          <a:prstGeom prst="rect">
                            <a:avLst/>
                          </a:prstGeom>
                          <a:noFill/>
                          <a:ln>
                            <a:noFill/>
                          </a:ln>
                        </pic:spPr>
                      </pic:pic>
                    </a:graphicData>
                  </a:graphic>
                </wp:inline>
              </w:drawing>
            </w:r>
          </w:p>
        </w:tc>
        <w:tc>
          <w:tcPr>
            <w:tcW w:w="4675" w:type="dxa"/>
            <w:gridSpan w:val="2"/>
          </w:tcPr>
          <w:p w:rsidR="008E7FF9" w:rsidRPr="001F6593" w:rsidRDefault="008E7FF9">
            <w:pPr>
              <w:rPr>
                <w:color w:val="000000"/>
              </w:rPr>
            </w:pPr>
            <w:r w:rsidRPr="001F6593">
              <w:br/>
              <w:t xml:space="preserve">La identificación por J.J. Thomson de unas partículas subatómicas cargadas negativamente, los </w:t>
            </w:r>
            <w:r w:rsidRPr="001F6593">
              <w:rPr>
                <w:b/>
                <w:bCs/>
              </w:rPr>
              <w:t>electrones</w:t>
            </w:r>
            <w:r w:rsidRPr="001F6593">
              <w:t xml:space="preserve">, a través del estudio de los </w:t>
            </w:r>
            <w:r w:rsidRPr="001F6593">
              <w:rPr>
                <w:i/>
                <w:iCs/>
              </w:rPr>
              <w:t>rayos catódicos</w:t>
            </w:r>
            <w:r w:rsidRPr="001F6593">
              <w:t xml:space="preserve">, y su posterior caracterización, le llevaron a proponer un modelo de átomo que explicara dichos resultados experimentales. Se trata del modelo conocido informalmente como el </w:t>
            </w:r>
            <w:r w:rsidRPr="001F6593">
              <w:rPr>
                <w:i/>
                <w:iCs/>
              </w:rPr>
              <w:t>pudín de ciruelas</w:t>
            </w:r>
            <w:r w:rsidRPr="001F6593">
              <w:t xml:space="preserve">, según el cual los electrones eran como 'ciruelas' negativas incrustadas en un 'pudín' de materia positiva. </w:t>
            </w:r>
          </w:p>
        </w:tc>
      </w:tr>
      <w:tr w:rsidR="008E7FF9" w:rsidRPr="001F6593" w:rsidTr="001F6593">
        <w:trPr>
          <w:gridBefore w:val="1"/>
          <w:gridAfter w:val="2"/>
          <w:wBefore w:w="15" w:type="dxa"/>
          <w:wAfter w:w="5214" w:type="dxa"/>
          <w:trHeight w:val="345"/>
          <w:tblCellSpacing w:w="0" w:type="dxa"/>
        </w:trPr>
        <w:tc>
          <w:tcPr>
            <w:tcW w:w="4521" w:type="dxa"/>
            <w:gridSpan w:val="3"/>
            <w:vAlign w:val="center"/>
          </w:tcPr>
          <w:p w:rsidR="00611399" w:rsidRPr="001F6593" w:rsidRDefault="00611399">
            <w:pPr>
              <w:jc w:val="center"/>
              <w:rPr>
                <w:b/>
                <w:bCs/>
              </w:rPr>
            </w:pPr>
          </w:p>
          <w:p w:rsidR="00611399" w:rsidRPr="001F6593" w:rsidRDefault="00611399">
            <w:pPr>
              <w:jc w:val="center"/>
              <w:rPr>
                <w:b/>
                <w:bCs/>
              </w:rPr>
            </w:pPr>
          </w:p>
          <w:p w:rsidR="000A55DA" w:rsidRPr="001F6593" w:rsidRDefault="000A55DA">
            <w:pPr>
              <w:jc w:val="center"/>
              <w:rPr>
                <w:b/>
                <w:bCs/>
              </w:rPr>
            </w:pPr>
          </w:p>
          <w:p w:rsidR="000A55DA" w:rsidRPr="001F6593" w:rsidRDefault="000A55DA">
            <w:pPr>
              <w:jc w:val="center"/>
              <w:rPr>
                <w:b/>
                <w:bCs/>
              </w:rPr>
            </w:pPr>
          </w:p>
          <w:p w:rsidR="000A55DA" w:rsidRPr="001F6593" w:rsidRDefault="000A55DA">
            <w:pPr>
              <w:jc w:val="center"/>
              <w:rPr>
                <w:b/>
                <w:bCs/>
              </w:rPr>
            </w:pPr>
          </w:p>
          <w:p w:rsidR="000A55DA" w:rsidRPr="001F6593" w:rsidRDefault="000A55DA">
            <w:pPr>
              <w:jc w:val="center"/>
              <w:rPr>
                <w:b/>
                <w:bCs/>
              </w:rPr>
            </w:pPr>
          </w:p>
          <w:p w:rsidR="000A55DA" w:rsidRPr="001F6593" w:rsidRDefault="000A55DA">
            <w:pPr>
              <w:jc w:val="center"/>
              <w:rPr>
                <w:b/>
                <w:bCs/>
              </w:rPr>
            </w:pPr>
          </w:p>
          <w:p w:rsidR="001F6593" w:rsidRDefault="001F6593">
            <w:pPr>
              <w:jc w:val="center"/>
              <w:rPr>
                <w:b/>
                <w:bCs/>
              </w:rPr>
            </w:pPr>
          </w:p>
          <w:p w:rsidR="001F6593" w:rsidRDefault="001F6593">
            <w:pPr>
              <w:jc w:val="center"/>
              <w:rPr>
                <w:b/>
                <w:bCs/>
              </w:rPr>
            </w:pPr>
          </w:p>
          <w:p w:rsidR="001F6593" w:rsidRDefault="001F6593">
            <w:pPr>
              <w:jc w:val="center"/>
              <w:rPr>
                <w:b/>
                <w:bCs/>
              </w:rPr>
            </w:pPr>
          </w:p>
          <w:p w:rsidR="008E7FF9" w:rsidRPr="001F6593" w:rsidRDefault="008E7FF9">
            <w:pPr>
              <w:jc w:val="center"/>
              <w:rPr>
                <w:color w:val="000000"/>
                <w:sz w:val="28"/>
                <w:szCs w:val="28"/>
              </w:rPr>
            </w:pPr>
            <w:r w:rsidRPr="001F6593">
              <w:rPr>
                <w:b/>
                <w:bCs/>
              </w:rPr>
              <w:lastRenderedPageBreak/>
              <w:t> </w:t>
            </w:r>
            <w:r w:rsidRPr="001F6593">
              <w:rPr>
                <w:b/>
                <w:bCs/>
                <w:i/>
                <w:iCs/>
                <w:sz w:val="28"/>
                <w:szCs w:val="28"/>
              </w:rPr>
              <w:t>Descubrimiento del núcleo atómico</w:t>
            </w:r>
          </w:p>
        </w:tc>
      </w:tr>
      <w:tr w:rsidR="008E7FF9" w:rsidRPr="001F6593" w:rsidTr="001F6593">
        <w:trPr>
          <w:tblCellSpacing w:w="0" w:type="dxa"/>
        </w:trPr>
        <w:tc>
          <w:tcPr>
            <w:tcW w:w="149" w:type="dxa"/>
            <w:gridSpan w:val="2"/>
            <w:vAlign w:val="center"/>
          </w:tcPr>
          <w:p w:rsidR="008E7FF9" w:rsidRPr="001F6593" w:rsidRDefault="00F132D7">
            <w:pPr>
              <w:rPr>
                <w:color w:val="000000"/>
              </w:rPr>
            </w:pPr>
            <w:r w:rsidRPr="001F6593">
              <w:rPr>
                <w:color w:val="000000"/>
              </w:rPr>
              <w:lastRenderedPageBreak/>
              <w:t xml:space="preserve"> (</w:t>
            </w:r>
          </w:p>
        </w:tc>
        <w:tc>
          <w:tcPr>
            <w:tcW w:w="9601" w:type="dxa"/>
            <w:gridSpan w:val="4"/>
          </w:tcPr>
          <w:p w:rsidR="001F6593" w:rsidRDefault="00F132D7" w:rsidP="00611399">
            <w:pPr>
              <w:rPr>
                <w:b/>
              </w:rPr>
            </w:pPr>
            <w:r w:rsidRPr="001F6593">
              <w:rPr>
                <w:b/>
              </w:rPr>
              <w:t>(Experiencia de Rutherford)</w:t>
            </w:r>
          </w:p>
          <w:p w:rsidR="008E7FF9" w:rsidRPr="001F6593" w:rsidRDefault="008E7FF9" w:rsidP="00611399">
            <w:pPr>
              <w:rPr>
                <w:color w:val="000000"/>
              </w:rPr>
            </w:pPr>
            <w:r w:rsidRPr="001F6593">
              <w:br/>
              <w:t xml:space="preserve">Los experimentos llevados a cabo en 1911 bajo la dirección de </w:t>
            </w:r>
            <w:proofErr w:type="spellStart"/>
            <w:r w:rsidRPr="001F6593">
              <w:rPr>
                <w:b/>
                <w:bCs/>
              </w:rPr>
              <w:t>Ernest</w:t>
            </w:r>
            <w:proofErr w:type="spellEnd"/>
            <w:r w:rsidRPr="001F6593">
              <w:rPr>
                <w:b/>
                <w:bCs/>
              </w:rPr>
              <w:t xml:space="preserve"> Rutherford</w:t>
            </w:r>
            <w:r w:rsidRPr="001F6593">
              <w:t xml:space="preserve"> modificaron las ideas existentes sobre la naturaleza del átomo. Rutherford y sus colaboradores </w:t>
            </w:r>
            <w:r w:rsidRPr="001F6593">
              <w:rPr>
                <w:b/>
                <w:bCs/>
              </w:rPr>
              <w:t>bombardearon una fina lámina de oro</w:t>
            </w:r>
            <w:r w:rsidRPr="001F6593">
              <w:t xml:space="preserve"> con </w:t>
            </w:r>
            <w:r w:rsidRPr="001F6593">
              <w:rPr>
                <w:i/>
                <w:iCs/>
              </w:rPr>
              <w:t>partículas alfa</w:t>
            </w:r>
            <w:r w:rsidRPr="001F6593">
              <w:t xml:space="preserve"> (núcleos de helio) procedentes de un elemento radiactivo. Observaban, mediante una pantalla fluorescente, en qué medida eran dispersadas las partículas. La mayoría de ellas atravesaba la lámina metálica sin cambiar de dirección; sin embargo, unas pocas eran reflejadas hacia atrás con ángulos pequeños. Éste era un resultado completamente inesperado, incompatible con el modelo </w:t>
            </w:r>
            <w:r w:rsidR="00611399" w:rsidRPr="001F6593">
              <w:t>de átom</w:t>
            </w:r>
            <w:r w:rsidRPr="001F6593">
              <w:t>o macizo existente.</w:t>
            </w:r>
            <w:r w:rsidRPr="001F6593">
              <w:br/>
              <w:t xml:space="preserve">Mediante un análisis matemático de las fuerzas involucradas, Rutherford demostró que la dispersión era causada por un pequeño </w:t>
            </w:r>
            <w:r w:rsidRPr="001F6593">
              <w:rPr>
                <w:b/>
                <w:bCs/>
              </w:rPr>
              <w:t>núcleo cargado positivamente</w:t>
            </w:r>
            <w:r w:rsidRPr="001F6593">
              <w:t>, situado en el centro del átomo de oro. De esta forma dedujo que la mayor parte del átomo es espacio vacío, lo que explicaba por qué la mayoría de las partículas que bombardeaban la lámina de oro, pasaran a través de ella sin desviarse.</w:t>
            </w:r>
          </w:p>
        </w:tc>
      </w:tr>
    </w:tbl>
    <w:p w:rsidR="008E7FF9" w:rsidRPr="001F6593" w:rsidRDefault="008E7FF9">
      <w:pPr>
        <w:rPr>
          <w:vanish/>
        </w:rPr>
      </w:pPr>
    </w:p>
    <w:tbl>
      <w:tblPr>
        <w:tblW w:w="9750" w:type="dxa"/>
        <w:tblCellSpacing w:w="0" w:type="dxa"/>
        <w:tblCellMar>
          <w:left w:w="0" w:type="dxa"/>
          <w:right w:w="0" w:type="dxa"/>
        </w:tblCellMar>
        <w:tblLook w:val="0000" w:firstRow="0" w:lastRow="0" w:firstColumn="0" w:lastColumn="0" w:noHBand="0" w:noVBand="0"/>
      </w:tblPr>
      <w:tblGrid>
        <w:gridCol w:w="5805"/>
        <w:gridCol w:w="3945"/>
      </w:tblGrid>
      <w:tr w:rsidR="008E7FF9" w:rsidRPr="001F6593">
        <w:trPr>
          <w:tblCellSpacing w:w="0" w:type="dxa"/>
        </w:trPr>
        <w:tc>
          <w:tcPr>
            <w:tcW w:w="5805" w:type="dxa"/>
          </w:tcPr>
          <w:p w:rsidR="008E7FF9" w:rsidRPr="001F6593" w:rsidRDefault="00E54A78">
            <w:pPr>
              <w:jc w:val="center"/>
              <w:rPr>
                <w:color w:val="000000"/>
              </w:rPr>
            </w:pPr>
            <w:r w:rsidRPr="001F6593">
              <w:rPr>
                <w:noProof/>
              </w:rPr>
              <w:drawing>
                <wp:inline distT="0" distB="0" distL="0" distR="0" wp14:anchorId="594998DE" wp14:editId="777A6DF0">
                  <wp:extent cx="3683635" cy="2092960"/>
                  <wp:effectExtent l="0" t="0" r="0" b="0"/>
                  <wp:docPr id="3" name="Imagen 3" descr="rutherf_ex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utherf_exp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3635" cy="2092960"/>
                          </a:xfrm>
                          <a:prstGeom prst="rect">
                            <a:avLst/>
                          </a:prstGeom>
                          <a:noFill/>
                          <a:ln>
                            <a:noFill/>
                          </a:ln>
                        </pic:spPr>
                      </pic:pic>
                    </a:graphicData>
                  </a:graphic>
                </wp:inline>
              </w:drawing>
            </w:r>
          </w:p>
        </w:tc>
        <w:tc>
          <w:tcPr>
            <w:tcW w:w="3945" w:type="dxa"/>
          </w:tcPr>
          <w:p w:rsidR="008E7FF9" w:rsidRPr="001F6593" w:rsidRDefault="00E54A78">
            <w:pPr>
              <w:jc w:val="center"/>
              <w:rPr>
                <w:color w:val="000000"/>
              </w:rPr>
            </w:pPr>
            <w:r w:rsidRPr="001F6593">
              <w:rPr>
                <w:noProof/>
              </w:rPr>
              <w:drawing>
                <wp:inline distT="0" distB="0" distL="0" distR="0" wp14:anchorId="2ED8829B" wp14:editId="431735DF">
                  <wp:extent cx="2505075" cy="2163445"/>
                  <wp:effectExtent l="0" t="0" r="0" b="0"/>
                  <wp:docPr id="4" name="Imagen 4" descr="exp_ruther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p_rutherf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5075" cy="2163445"/>
                          </a:xfrm>
                          <a:prstGeom prst="rect">
                            <a:avLst/>
                          </a:prstGeom>
                          <a:noFill/>
                          <a:ln>
                            <a:noFill/>
                          </a:ln>
                        </pic:spPr>
                      </pic:pic>
                    </a:graphicData>
                  </a:graphic>
                </wp:inline>
              </w:drawing>
            </w:r>
          </w:p>
        </w:tc>
      </w:tr>
    </w:tbl>
    <w:p w:rsidR="008E7FF9" w:rsidRPr="001F6593" w:rsidRDefault="008E7FF9"/>
    <w:p w:rsidR="000A55DA" w:rsidRPr="001F6593" w:rsidRDefault="000A55DA"/>
    <w:p w:rsidR="000A55DA" w:rsidRPr="001F6593" w:rsidRDefault="000A55DA"/>
    <w:tbl>
      <w:tblPr>
        <w:tblW w:w="9000" w:type="dxa"/>
        <w:tblCellSpacing w:w="0" w:type="dxa"/>
        <w:tblCellMar>
          <w:left w:w="0" w:type="dxa"/>
          <w:right w:w="0" w:type="dxa"/>
        </w:tblCellMar>
        <w:tblLook w:val="0000" w:firstRow="0" w:lastRow="0" w:firstColumn="0" w:lastColumn="0" w:noHBand="0" w:noVBand="0"/>
      </w:tblPr>
      <w:tblGrid>
        <w:gridCol w:w="3270"/>
        <w:gridCol w:w="5730"/>
      </w:tblGrid>
      <w:tr w:rsidR="008E7FF9" w:rsidRPr="001F6593">
        <w:trPr>
          <w:trHeight w:val="345"/>
          <w:tblCellSpacing w:w="0" w:type="dxa"/>
        </w:trPr>
        <w:tc>
          <w:tcPr>
            <w:tcW w:w="0" w:type="auto"/>
            <w:gridSpan w:val="2"/>
            <w:vAlign w:val="center"/>
          </w:tcPr>
          <w:p w:rsidR="008E7FF9" w:rsidRPr="001F6593" w:rsidRDefault="008E7FF9">
            <w:pPr>
              <w:jc w:val="center"/>
              <w:rPr>
                <w:color w:val="000000"/>
                <w:sz w:val="28"/>
                <w:szCs w:val="28"/>
              </w:rPr>
            </w:pPr>
            <w:r w:rsidRPr="001F6593">
              <w:rPr>
                <w:b/>
                <w:bCs/>
              </w:rPr>
              <w:t> </w:t>
            </w:r>
            <w:r w:rsidRPr="001F6593">
              <w:rPr>
                <w:b/>
                <w:bCs/>
                <w:i/>
                <w:iCs/>
                <w:sz w:val="28"/>
                <w:szCs w:val="28"/>
              </w:rPr>
              <w:t>Modelo atómico de Rutherford</w:t>
            </w:r>
          </w:p>
        </w:tc>
      </w:tr>
      <w:tr w:rsidR="008E7FF9" w:rsidRPr="001F6593">
        <w:trPr>
          <w:tblCellSpacing w:w="0" w:type="dxa"/>
        </w:trPr>
        <w:tc>
          <w:tcPr>
            <w:tcW w:w="3270" w:type="dxa"/>
            <w:vAlign w:val="center"/>
          </w:tcPr>
          <w:p w:rsidR="008E7FF9" w:rsidRPr="001F6593" w:rsidRDefault="00E54A78">
            <w:pPr>
              <w:rPr>
                <w:color w:val="000000"/>
              </w:rPr>
            </w:pPr>
            <w:r w:rsidRPr="001F6593">
              <w:rPr>
                <w:noProof/>
                <w:color w:val="000000"/>
              </w:rPr>
              <w:drawing>
                <wp:inline distT="0" distB="0" distL="0" distR="0" wp14:anchorId="6C7A8360" wp14:editId="330EF223">
                  <wp:extent cx="1918970" cy="2169795"/>
                  <wp:effectExtent l="0" t="0" r="0" b="0"/>
                  <wp:docPr id="5" name="Imagen 5" descr="atom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tomo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8970" cy="2169795"/>
                          </a:xfrm>
                          <a:prstGeom prst="rect">
                            <a:avLst/>
                          </a:prstGeom>
                          <a:noFill/>
                          <a:ln>
                            <a:noFill/>
                          </a:ln>
                        </pic:spPr>
                      </pic:pic>
                    </a:graphicData>
                  </a:graphic>
                </wp:inline>
              </w:drawing>
            </w:r>
          </w:p>
        </w:tc>
        <w:tc>
          <w:tcPr>
            <w:tcW w:w="0" w:type="auto"/>
          </w:tcPr>
          <w:p w:rsidR="008E7FF9" w:rsidRPr="001F6593" w:rsidRDefault="008E7FF9">
            <w:pPr>
              <w:rPr>
                <w:color w:val="000000"/>
              </w:rPr>
            </w:pPr>
            <w:r w:rsidRPr="001F6593">
              <w:br/>
              <w:t xml:space="preserve">Rutherford, basándose en los resultados obtenidos en sus experimentos de bombardeo de láminas delgadas de metales, estableció el llamado </w:t>
            </w:r>
            <w:r w:rsidRPr="001F6593">
              <w:rPr>
                <w:b/>
                <w:bCs/>
              </w:rPr>
              <w:t>modelo atómico de Rutherford</w:t>
            </w:r>
            <w:r w:rsidRPr="001F6593">
              <w:t xml:space="preserve"> o modelo atómico nuclear.</w:t>
            </w:r>
            <w:r w:rsidRPr="001F6593">
              <w:br/>
              <w:t>El átomo está formado por dos partes: núcleo y corteza.</w:t>
            </w:r>
            <w:r w:rsidRPr="001F6593">
              <w:br/>
              <w:t xml:space="preserve">El </w:t>
            </w:r>
            <w:r w:rsidRPr="001F6593">
              <w:rPr>
                <w:b/>
                <w:bCs/>
              </w:rPr>
              <w:t>núcleo</w:t>
            </w:r>
            <w:r w:rsidRPr="001F6593">
              <w:t xml:space="preserve"> es la parte central, de tamaño muy pequeño, donde se encuentra toda la carga positiva y, prácticamente, toda la masa del átomo. Esta carga positiva del núcleo, en la experiencia de la lámina de oro, es la responsable de la desviación de las partículas alfa (también con carga positiva).</w:t>
            </w:r>
            <w:r w:rsidRPr="001F6593">
              <w:br/>
              <w:t xml:space="preserve">La </w:t>
            </w:r>
            <w:r w:rsidRPr="001F6593">
              <w:rPr>
                <w:b/>
                <w:bCs/>
              </w:rPr>
              <w:t>corteza</w:t>
            </w:r>
            <w:r w:rsidRPr="001F6593">
              <w:t xml:space="preserve"> es casi un espacio vacío, inmenso en relación con las dimensiones del núcleo. Eso explica que la mayor parte de las partículas alfa atraviesan la lámina de oro sin desviarse. Aquí se encuentran los electrones con masa muy pequeña y carga negativa. Como en un diminuto sistema solar, los electrones giran alrededor del núcleo, igual que los planetas alrededor del Sol. Los electrones están ligados al núcleo por la atracción eléctrica entre cargas de signo contrario.</w:t>
            </w:r>
          </w:p>
        </w:tc>
      </w:tr>
    </w:tbl>
    <w:p w:rsidR="001F6593" w:rsidRDefault="001F6593">
      <w:pPr>
        <w:rPr>
          <w:b/>
          <w:i/>
        </w:rPr>
      </w:pPr>
    </w:p>
    <w:p w:rsidR="000A55DA" w:rsidRPr="001F6593" w:rsidRDefault="00B34A07">
      <w:r w:rsidRPr="001F6593">
        <w:rPr>
          <w:b/>
          <w:i/>
          <w:sz w:val="28"/>
          <w:szCs w:val="28"/>
        </w:rPr>
        <w:lastRenderedPageBreak/>
        <w:t>Partículas subatómicas</w:t>
      </w:r>
    </w:p>
    <w:p w:rsidR="00B34A07" w:rsidRPr="001F6593" w:rsidRDefault="00B34A07">
      <w:r w:rsidRPr="001F6593">
        <w:t>El modelo de Rutherford hiz</w:t>
      </w:r>
      <w:r w:rsidR="00611399" w:rsidRPr="001F6593">
        <w:t>o</w:t>
      </w:r>
      <w:r w:rsidRPr="001F6593">
        <w:t xml:space="preserve"> pensar en la existencia de unas partículas neutras situadas en el núcleo. </w:t>
      </w:r>
      <w:r w:rsidR="00534466" w:rsidRPr="001F6593">
        <w:t>Fueron descubiertas posteriormente.</w:t>
      </w:r>
    </w:p>
    <w:p w:rsidR="00534466" w:rsidRPr="001F6593" w:rsidRDefault="00534466">
      <w:r w:rsidRPr="001F6593">
        <w:t>Las partículas constituyentes de los átomos son principalmente:</w:t>
      </w:r>
    </w:p>
    <w:p w:rsidR="00534466" w:rsidRPr="001F6593" w:rsidRDefault="00534466">
      <w:r w:rsidRPr="001F6593">
        <w:rPr>
          <w:b/>
        </w:rPr>
        <w:t>Electrones</w:t>
      </w:r>
      <w:r w:rsidRPr="001F6593">
        <w:t>: Carga</w:t>
      </w:r>
      <w:r w:rsidR="00611399" w:rsidRPr="001F6593">
        <w:t xml:space="preserve"> negativa, situ</w:t>
      </w:r>
      <w:r w:rsidRPr="001F6593">
        <w:t>ados en la corteza y masa inferior a</w:t>
      </w:r>
      <w:r w:rsidR="00611399" w:rsidRPr="001F6593">
        <w:t xml:space="preserve"> </w:t>
      </w:r>
      <w:r w:rsidRPr="001F6593">
        <w:t>los protones y neutrones</w:t>
      </w:r>
      <w:r w:rsidR="00AF5D2E" w:rsidRPr="001F6593">
        <w:t xml:space="preserve"> </w:t>
      </w:r>
      <w:r w:rsidRPr="001F6593">
        <w:t>(casi 2000 veces menor).</w:t>
      </w:r>
    </w:p>
    <w:p w:rsidR="00534466" w:rsidRPr="001F6593" w:rsidRDefault="00534466">
      <w:r w:rsidRPr="001F6593">
        <w:rPr>
          <w:b/>
        </w:rPr>
        <w:t>Protones</w:t>
      </w:r>
      <w:r w:rsidRPr="001F6593">
        <w:t>: Carga positiva, situados en el núcleo y carga similar a la de los neutrones.</w:t>
      </w:r>
    </w:p>
    <w:p w:rsidR="00534466" w:rsidRDefault="00611399">
      <w:r w:rsidRPr="001F6593">
        <w:rPr>
          <w:b/>
        </w:rPr>
        <w:t>Neutro</w:t>
      </w:r>
      <w:r w:rsidR="00534466" w:rsidRPr="001F6593">
        <w:rPr>
          <w:b/>
        </w:rPr>
        <w:t>nes</w:t>
      </w:r>
      <w:r w:rsidR="00534466" w:rsidRPr="001F6593">
        <w:t>: No tienen carga e</w:t>
      </w:r>
      <w:r w:rsidR="00237597" w:rsidRPr="001F6593">
        <w:t>lé</w:t>
      </w:r>
      <w:r w:rsidR="00534466" w:rsidRPr="001F6593">
        <w:t>ctrica, situados en el núcleo y masa similar a la delos protones.</w:t>
      </w:r>
    </w:p>
    <w:p w:rsidR="001F6593" w:rsidRPr="001F6593" w:rsidRDefault="001F6593"/>
    <w:p w:rsidR="00611399" w:rsidRPr="001F6593" w:rsidRDefault="00534466">
      <w:r w:rsidRPr="001F6593">
        <w:rPr>
          <w:b/>
          <w:i/>
          <w:sz w:val="28"/>
          <w:szCs w:val="28"/>
        </w:rPr>
        <w:t>Números identificativos de los átomos</w:t>
      </w:r>
    </w:p>
    <w:p w:rsidR="00237597" w:rsidRPr="001F6593" w:rsidRDefault="00534466">
      <w:r w:rsidRPr="001F6593">
        <w:rPr>
          <w:u w:val="single"/>
        </w:rPr>
        <w:t>Número atómico</w:t>
      </w:r>
      <w:r w:rsidRPr="001F6593">
        <w:sym w:font="Wingdings" w:char="F0E8"/>
      </w:r>
      <w:r w:rsidRPr="001F6593">
        <w:t xml:space="preserve">Z. </w:t>
      </w:r>
      <w:r w:rsidR="00237597" w:rsidRPr="001F6593">
        <w:t>Indica el número de protones que hay en el núcleo de un átomo.</w:t>
      </w:r>
      <w:r w:rsidR="00611399" w:rsidRPr="001F6593">
        <w:t xml:space="preserve"> </w:t>
      </w:r>
      <w:r w:rsidR="00237597" w:rsidRPr="001F6593">
        <w:t>Todos los átomos de un mismo elemento tiene</w:t>
      </w:r>
      <w:r w:rsidR="00611399" w:rsidRPr="001F6593">
        <w:t>n el mismo Z, es por tanto un nú</w:t>
      </w:r>
      <w:r w:rsidR="00237597" w:rsidRPr="001F6593">
        <w:t>mero que identifica a</w:t>
      </w:r>
      <w:r w:rsidR="00611399" w:rsidRPr="001F6593">
        <w:t xml:space="preserve"> </w:t>
      </w:r>
      <w:r w:rsidR="00237597" w:rsidRPr="001F6593">
        <w:t>los elementos. Coincide con el número de electrones si el átomo es neutro.</w:t>
      </w:r>
    </w:p>
    <w:p w:rsidR="00611399" w:rsidRPr="001F6593" w:rsidRDefault="00237597" w:rsidP="00611399">
      <w:pPr>
        <w:jc w:val="center"/>
      </w:pPr>
      <w:r w:rsidRPr="001F6593">
        <w:rPr>
          <w:u w:val="single"/>
        </w:rPr>
        <w:t>Número másico</w:t>
      </w:r>
      <w:r w:rsidRPr="001F6593">
        <w:sym w:font="Wingdings" w:char="F0E8"/>
      </w:r>
      <w:r w:rsidR="00611399" w:rsidRPr="001F6593">
        <w:t xml:space="preserve"> A. Indica el nú</w:t>
      </w:r>
      <w:r w:rsidRPr="001F6593">
        <w:t>mero de protones y neutrones del núcleo de un átomo. A= Z + N.</w:t>
      </w:r>
    </w:p>
    <w:p w:rsidR="008E7FF9" w:rsidRPr="001F6593" w:rsidRDefault="00237597">
      <w:r w:rsidRPr="001F6593">
        <w:t>Dentro de un mismo elemento puede haber átomos que tienen diferente A debido a</w:t>
      </w:r>
      <w:r w:rsidR="00611399" w:rsidRPr="001F6593">
        <w:t xml:space="preserve"> </w:t>
      </w:r>
      <w:r w:rsidRPr="001F6593">
        <w:t>un número</w:t>
      </w:r>
      <w:r w:rsidR="00611399" w:rsidRPr="001F6593">
        <w:t xml:space="preserve"> </w:t>
      </w:r>
      <w:r w:rsidRPr="001F6593">
        <w:t>d</w:t>
      </w:r>
      <w:r w:rsidR="00611399" w:rsidRPr="001F6593">
        <w:t xml:space="preserve">e </w:t>
      </w:r>
      <w:r w:rsidRPr="001F6593">
        <w:t>neutrones diferentes. Estos átomos son isótopos. Los isótopos tienen las mismas propiedades químicas</w:t>
      </w:r>
      <w:r w:rsidR="00611399" w:rsidRPr="001F6593">
        <w:t xml:space="preserve"> </w:t>
      </w:r>
      <w:proofErr w:type="gramStart"/>
      <w:r w:rsidRPr="001F6593">
        <w:t>( pertenecen</w:t>
      </w:r>
      <w:proofErr w:type="gramEnd"/>
      <w:r w:rsidRPr="001F6593">
        <w:t xml:space="preserve"> al mismo elemento) y presentan algunas propi</w:t>
      </w:r>
      <w:r w:rsidR="00611399" w:rsidRPr="001F6593">
        <w:t>e</w:t>
      </w:r>
      <w:r w:rsidRPr="001F6593">
        <w:t>dades físicas diferentes como su comportamiento radiactivo.</w:t>
      </w:r>
    </w:p>
    <w:p w:rsidR="008E7FF9" w:rsidRPr="001F6593" w:rsidRDefault="008E7FF9"/>
    <w:p w:rsidR="001F6593" w:rsidRPr="001F6593" w:rsidRDefault="00556911">
      <w:r w:rsidRPr="001F6593">
        <w:rPr>
          <w:b/>
          <w:i/>
          <w:sz w:val="28"/>
          <w:szCs w:val="28"/>
        </w:rPr>
        <w:t>Masa atómica de los elementos</w:t>
      </w:r>
      <w:r w:rsidRPr="001F6593">
        <w:rPr>
          <w:b/>
          <w:i/>
        </w:rPr>
        <w:t>.</w:t>
      </w:r>
    </w:p>
    <w:p w:rsidR="00556911" w:rsidRPr="001F6593" w:rsidRDefault="00556911">
      <w:r w:rsidRPr="001F6593">
        <w:t xml:space="preserve"> Se ha establecido como unidad de masa atómica de los átomos la u </w:t>
      </w:r>
      <w:proofErr w:type="gramStart"/>
      <w:r w:rsidRPr="001F6593">
        <w:t xml:space="preserve">( </w:t>
      </w:r>
      <w:proofErr w:type="spellStart"/>
      <w:r w:rsidRPr="001F6593">
        <w:t>uma</w:t>
      </w:r>
      <w:proofErr w:type="spellEnd"/>
      <w:proofErr w:type="gramEnd"/>
      <w:r w:rsidRPr="001F6593">
        <w:t xml:space="preserve">= unidad de masa atómica), corresponde a la doceava parte del átomo de carbono 12. 1 u = 1/ 12 átomo </w:t>
      </w:r>
      <w:r w:rsidR="000A55DA" w:rsidRPr="001F6593">
        <w:t xml:space="preserve"> </w:t>
      </w:r>
      <w:r w:rsidRPr="001F6593">
        <w:rPr>
          <w:vertAlign w:val="superscript"/>
        </w:rPr>
        <w:t>12</w:t>
      </w:r>
      <w:r w:rsidRPr="001F6593">
        <w:t>C.</w:t>
      </w:r>
    </w:p>
    <w:p w:rsidR="00556911" w:rsidRPr="001F6593" w:rsidRDefault="00556911">
      <w:r w:rsidRPr="001F6593">
        <w:t>Teniendo en cuenta que los elementos están formados por una mezcla de isótopos, la masa atómica de un elemento corresponde a la media ponderada de la masa de sus isótopos.</w:t>
      </w:r>
    </w:p>
    <w:p w:rsidR="00556911" w:rsidRPr="001F6593" w:rsidRDefault="000A55DA">
      <w:r w:rsidRPr="001F6593">
        <w:tab/>
      </w:r>
      <w:r w:rsidRPr="001F6593">
        <w:tab/>
      </w:r>
      <w:r w:rsidR="00556911" w:rsidRPr="001F6593">
        <w:tab/>
        <w:t>Masa atómica (elemento)</w:t>
      </w:r>
      <w:r w:rsidRPr="001F6593">
        <w:t xml:space="preserve">=  </w:t>
      </w:r>
      <m:oMath>
        <m:f>
          <m:fPr>
            <m:ctrlPr>
              <w:rPr>
                <w:rFonts w:ascii="Cambria Math" w:hAnsi="Cambria Math"/>
                <w:i/>
              </w:rPr>
            </m:ctrlPr>
          </m:fPr>
          <m:num>
            <m:r>
              <w:rPr>
                <w:rFonts w:ascii="Cambria Math" w:hAnsi="Cambria Math"/>
              </w:rPr>
              <m:t>A%+B%+….</m:t>
            </m:r>
          </m:num>
          <m:den>
            <m:r>
              <w:rPr>
                <w:rFonts w:ascii="Cambria Math" w:hAnsi="Cambria Math"/>
              </w:rPr>
              <m:t>100</m:t>
            </m:r>
          </m:den>
        </m:f>
      </m:oMath>
    </w:p>
    <w:p w:rsidR="008E7FF9" w:rsidRPr="001F6593" w:rsidRDefault="008E7FF9"/>
    <w:tbl>
      <w:tblPr>
        <w:tblW w:w="9750" w:type="dxa"/>
        <w:tblCellSpacing w:w="0" w:type="dxa"/>
        <w:tblCellMar>
          <w:left w:w="0" w:type="dxa"/>
          <w:right w:w="0" w:type="dxa"/>
        </w:tblCellMar>
        <w:tblLook w:val="0000" w:firstRow="0" w:lastRow="0" w:firstColumn="0" w:lastColumn="0" w:noHBand="0" w:noVBand="0"/>
      </w:tblPr>
      <w:tblGrid>
        <w:gridCol w:w="9750"/>
      </w:tblGrid>
      <w:tr w:rsidR="008E7FF9" w:rsidRPr="001F6593">
        <w:trPr>
          <w:trHeight w:val="345"/>
          <w:tblCellSpacing w:w="0" w:type="dxa"/>
        </w:trPr>
        <w:tc>
          <w:tcPr>
            <w:tcW w:w="0" w:type="auto"/>
            <w:vAlign w:val="center"/>
          </w:tcPr>
          <w:p w:rsidR="008E7FF9" w:rsidRPr="001F6593" w:rsidRDefault="008E7FF9">
            <w:pPr>
              <w:jc w:val="center"/>
              <w:rPr>
                <w:color w:val="000000"/>
                <w:sz w:val="28"/>
                <w:szCs w:val="28"/>
              </w:rPr>
            </w:pPr>
            <w:r w:rsidRPr="001F6593">
              <w:rPr>
                <w:b/>
                <w:bCs/>
                <w:sz w:val="28"/>
                <w:szCs w:val="28"/>
              </w:rPr>
              <w:t> </w:t>
            </w:r>
            <w:r w:rsidRPr="001F6593">
              <w:rPr>
                <w:b/>
                <w:bCs/>
                <w:i/>
                <w:iCs/>
                <w:sz w:val="28"/>
                <w:szCs w:val="28"/>
              </w:rPr>
              <w:t>Espectros atómicos</w:t>
            </w:r>
          </w:p>
        </w:tc>
      </w:tr>
    </w:tbl>
    <w:p w:rsidR="008E7FF9" w:rsidRPr="001F6593" w:rsidRDefault="008E7FF9">
      <w:pPr>
        <w:rPr>
          <w:vanish/>
        </w:rPr>
      </w:pPr>
    </w:p>
    <w:tbl>
      <w:tblPr>
        <w:tblW w:w="10317" w:type="dxa"/>
        <w:tblCellSpacing w:w="0" w:type="dxa"/>
        <w:tblInd w:w="-567" w:type="dxa"/>
        <w:tblCellMar>
          <w:left w:w="0" w:type="dxa"/>
          <w:right w:w="0" w:type="dxa"/>
        </w:tblCellMar>
        <w:tblLook w:val="0000" w:firstRow="0" w:lastRow="0" w:firstColumn="0" w:lastColumn="0" w:noHBand="0" w:noVBand="0"/>
      </w:tblPr>
      <w:tblGrid>
        <w:gridCol w:w="60"/>
        <w:gridCol w:w="507"/>
        <w:gridCol w:w="143"/>
        <w:gridCol w:w="9607"/>
      </w:tblGrid>
      <w:tr w:rsidR="008E7FF9" w:rsidRPr="001F6593" w:rsidTr="001F6593">
        <w:trPr>
          <w:tblCellSpacing w:w="0" w:type="dxa"/>
        </w:trPr>
        <w:tc>
          <w:tcPr>
            <w:tcW w:w="60" w:type="dxa"/>
            <w:vAlign w:val="center"/>
          </w:tcPr>
          <w:p w:rsidR="008E7FF9" w:rsidRPr="001F6593" w:rsidRDefault="008E7FF9" w:rsidP="00AF5D2E">
            <w:pPr>
              <w:rPr>
                <w:color w:val="000000"/>
              </w:rPr>
            </w:pPr>
            <w:r w:rsidRPr="001F6593">
              <w:t> </w:t>
            </w:r>
          </w:p>
        </w:tc>
        <w:tc>
          <w:tcPr>
            <w:tcW w:w="10257" w:type="dxa"/>
            <w:gridSpan w:val="3"/>
          </w:tcPr>
          <w:p w:rsidR="008E7FF9" w:rsidRPr="001F6593" w:rsidRDefault="008E7FF9" w:rsidP="00AF5D2E">
            <w:r w:rsidRPr="001F6593">
              <w:br/>
              <w:t xml:space="preserve">En el siglo XVII, Isaac Newton demostró que la luz blanca visible procedente del sol puede descomponerse en sus diferentes colores mediante un prisma. El </w:t>
            </w:r>
            <w:r w:rsidRPr="001F6593">
              <w:rPr>
                <w:b/>
                <w:bCs/>
              </w:rPr>
              <w:t>espectro</w:t>
            </w:r>
            <w:r w:rsidRPr="001F6593">
              <w:t xml:space="preserve"> que se obtiene es continuo; contiene todas las longitudes de onda desde el rojo al violeta, es decir, entre unos 400 y 700 </w:t>
            </w:r>
            <w:proofErr w:type="spellStart"/>
            <w:r w:rsidRPr="001F6593">
              <w:t>nm</w:t>
            </w:r>
            <w:proofErr w:type="spellEnd"/>
            <w:r w:rsidRPr="001F6593">
              <w:t xml:space="preserve"> (1 </w:t>
            </w:r>
            <w:proofErr w:type="spellStart"/>
            <w:r w:rsidRPr="001F6593">
              <w:t>nm</w:t>
            </w:r>
            <w:proofErr w:type="spellEnd"/>
            <w:r w:rsidRPr="001F6593">
              <w:t xml:space="preserve"> -nanómetro- = 10</w:t>
            </w:r>
            <w:r w:rsidRPr="001F6593">
              <w:rPr>
                <w:vertAlign w:val="superscript"/>
              </w:rPr>
              <w:t>-9</w:t>
            </w:r>
            <w:r w:rsidRPr="001F6593">
              <w:t xml:space="preserve"> m).</w:t>
            </w:r>
            <w:r w:rsidRPr="001F6593">
              <w:br/>
              <w:t xml:space="preserve">En cambio la luz emitida por un gas incandescente no es blanca sino coloreada y el espectro que se obtiene al hacerla pasar a través de un prisma es bastante diferente. Es un </w:t>
            </w:r>
            <w:r w:rsidRPr="001F6593">
              <w:rPr>
                <w:b/>
                <w:bCs/>
              </w:rPr>
              <w:t>espectro discontinuo</w:t>
            </w:r>
            <w:r w:rsidRPr="001F6593">
              <w:t xml:space="preserve"> que consta de líneas o rayas emitidas a longitudes de onda específicas. Cada elemento (es decir cada tipo de átomos) posee un espectro característico que puede utilizarse para identificarlo. Por ejemplo, en el del sodio, hay dos líneas intensas en la región amarilla a 589 </w:t>
            </w:r>
            <w:proofErr w:type="spellStart"/>
            <w:r w:rsidRPr="001F6593">
              <w:t>nm</w:t>
            </w:r>
            <w:proofErr w:type="spellEnd"/>
            <w:r w:rsidRPr="001F6593">
              <w:t xml:space="preserve"> y 589,6 </w:t>
            </w:r>
            <w:proofErr w:type="spellStart"/>
            <w:r w:rsidRPr="001F6593">
              <w:t>nm</w:t>
            </w:r>
            <w:proofErr w:type="spellEnd"/>
            <w:r w:rsidRPr="001F6593">
              <w:t>.</w:t>
            </w:r>
            <w:r w:rsidRPr="001F6593">
              <w:br/>
              <w:t>Uno de los espectros atómicos más sencillos, y que más importancia tuvo desde un punto de vista teórico, es el del hidrógeno. Cuando los átomos de gas hidrógeno absorben energía por medio de una descarga de alto voltaje, emiten radiaciones que dan lugar a 5 líneas en la región visible del espectro:</w:t>
            </w:r>
          </w:p>
          <w:p w:rsidR="000A55DA" w:rsidRPr="001F6593" w:rsidRDefault="000A55DA" w:rsidP="00AF5D2E">
            <w:pPr>
              <w:rPr>
                <w:color w:val="000000"/>
              </w:rPr>
            </w:pPr>
          </w:p>
          <w:p w:rsidR="000A55DA" w:rsidRPr="001F6593" w:rsidRDefault="000A55DA" w:rsidP="00AF5D2E">
            <w:pPr>
              <w:rPr>
                <w:color w:val="000000"/>
              </w:rPr>
            </w:pPr>
          </w:p>
        </w:tc>
      </w:tr>
      <w:tr w:rsidR="008E7FF9" w:rsidRPr="001F6593" w:rsidTr="001F6593">
        <w:trPr>
          <w:gridBefore w:val="2"/>
          <w:wBefore w:w="567" w:type="dxa"/>
          <w:tblCellSpacing w:w="0" w:type="dxa"/>
        </w:trPr>
        <w:tc>
          <w:tcPr>
            <w:tcW w:w="0" w:type="auto"/>
            <w:gridSpan w:val="2"/>
          </w:tcPr>
          <w:p w:rsidR="008E7FF9" w:rsidRPr="001F6593" w:rsidRDefault="00E54A78" w:rsidP="00AF5D2E">
            <w:pPr>
              <w:jc w:val="center"/>
              <w:rPr>
                <w:color w:val="000000"/>
              </w:rPr>
            </w:pPr>
            <w:r w:rsidRPr="001F6593">
              <w:rPr>
                <w:noProof/>
              </w:rPr>
              <w:drawing>
                <wp:inline distT="0" distB="0" distL="0" distR="0" wp14:anchorId="304471AB" wp14:editId="4CC97E91">
                  <wp:extent cx="5890189" cy="1246909"/>
                  <wp:effectExtent l="0" t="0" r="0" b="0"/>
                  <wp:docPr id="7" name="Imagen 7" descr="espect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spectro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4865" cy="1250016"/>
                          </a:xfrm>
                          <a:prstGeom prst="rect">
                            <a:avLst/>
                          </a:prstGeom>
                          <a:noFill/>
                          <a:ln>
                            <a:noFill/>
                          </a:ln>
                        </pic:spPr>
                      </pic:pic>
                    </a:graphicData>
                  </a:graphic>
                </wp:inline>
              </w:drawing>
            </w:r>
          </w:p>
        </w:tc>
      </w:tr>
      <w:tr w:rsidR="008E7FF9" w:rsidRPr="001F6593" w:rsidTr="001F6593">
        <w:trPr>
          <w:gridBefore w:val="2"/>
          <w:wBefore w:w="567" w:type="dxa"/>
          <w:tblCellSpacing w:w="0" w:type="dxa"/>
        </w:trPr>
        <w:tc>
          <w:tcPr>
            <w:tcW w:w="143" w:type="dxa"/>
            <w:vAlign w:val="center"/>
          </w:tcPr>
          <w:p w:rsidR="000A55DA" w:rsidRPr="001F6593" w:rsidRDefault="000A55DA" w:rsidP="00AF5D2E"/>
          <w:p w:rsidR="008E7FF9" w:rsidRPr="001F6593" w:rsidRDefault="008E7FF9" w:rsidP="00AF5D2E">
            <w:pPr>
              <w:rPr>
                <w:color w:val="000000"/>
              </w:rPr>
            </w:pPr>
            <w:r w:rsidRPr="001F6593">
              <w:t> </w:t>
            </w:r>
          </w:p>
        </w:tc>
        <w:tc>
          <w:tcPr>
            <w:tcW w:w="9607" w:type="dxa"/>
          </w:tcPr>
          <w:p w:rsidR="008E7FF9" w:rsidRPr="001F6593" w:rsidRDefault="008E7FF9" w:rsidP="00AF5D2E">
            <w:pPr>
              <w:rPr>
                <w:color w:val="000000"/>
              </w:rPr>
            </w:pPr>
            <w:r w:rsidRPr="001F6593">
              <w:t>El modelo atómico de Rutherford no podía explicar estas emisiones discretas de radiación por los átomos. Además presentaba el inconveniente de ser inestable: Según la física clásica una carga en movimiento emite continuamente energía por lo que los electrones radiarían energía continuamente hasta "caer" en el núcleo, con lo que el átomo se destruiría.</w:t>
            </w:r>
          </w:p>
        </w:tc>
      </w:tr>
    </w:tbl>
    <w:p w:rsidR="008E7FF9" w:rsidRPr="001F6593" w:rsidRDefault="008E7FF9" w:rsidP="00AF5D2E"/>
    <w:p w:rsidR="000A55DA" w:rsidRPr="001F6593" w:rsidRDefault="000A55DA" w:rsidP="00AF5D2E"/>
    <w:tbl>
      <w:tblPr>
        <w:tblW w:w="9000" w:type="dxa"/>
        <w:tblCellSpacing w:w="0" w:type="dxa"/>
        <w:tblCellMar>
          <w:left w:w="0" w:type="dxa"/>
          <w:right w:w="0" w:type="dxa"/>
        </w:tblCellMar>
        <w:tblLook w:val="0000" w:firstRow="0" w:lastRow="0" w:firstColumn="0" w:lastColumn="0" w:noHBand="0" w:noVBand="0"/>
      </w:tblPr>
      <w:tblGrid>
        <w:gridCol w:w="9000"/>
      </w:tblGrid>
      <w:tr w:rsidR="008E7FF9" w:rsidRPr="001F6593">
        <w:trPr>
          <w:trHeight w:val="345"/>
          <w:tblCellSpacing w:w="0" w:type="dxa"/>
        </w:trPr>
        <w:tc>
          <w:tcPr>
            <w:tcW w:w="0" w:type="auto"/>
            <w:vAlign w:val="center"/>
          </w:tcPr>
          <w:p w:rsidR="008E7FF9" w:rsidRPr="001F6593" w:rsidRDefault="008E7FF9" w:rsidP="00AF5D2E">
            <w:pPr>
              <w:jc w:val="center"/>
              <w:rPr>
                <w:b/>
                <w:bCs/>
                <w:i/>
                <w:iCs/>
                <w:sz w:val="28"/>
                <w:szCs w:val="28"/>
              </w:rPr>
            </w:pPr>
            <w:r w:rsidRPr="001F6593">
              <w:rPr>
                <w:b/>
                <w:bCs/>
                <w:sz w:val="28"/>
                <w:szCs w:val="28"/>
              </w:rPr>
              <w:t> </w:t>
            </w:r>
            <w:r w:rsidRPr="001F6593">
              <w:rPr>
                <w:b/>
                <w:bCs/>
                <w:i/>
                <w:iCs/>
                <w:sz w:val="28"/>
                <w:szCs w:val="28"/>
              </w:rPr>
              <w:t>Modelo atómico de Bohr</w:t>
            </w:r>
          </w:p>
          <w:p w:rsidR="001C5949" w:rsidRPr="001F6593" w:rsidRDefault="00ED6ABC" w:rsidP="001C5949">
            <w:pPr>
              <w:jc w:val="center"/>
              <w:rPr>
                <w:color w:val="000000"/>
              </w:rPr>
            </w:pPr>
            <w:r w:rsidRPr="001F6593">
              <w:rPr>
                <w:color w:val="000000"/>
              </w:rPr>
              <w:drawing>
                <wp:inline distT="0" distB="0" distL="0" distR="0" wp14:anchorId="12760B6A" wp14:editId="55A09177">
                  <wp:extent cx="2380615" cy="2078355"/>
                  <wp:effectExtent l="0" t="0" r="635" b="0"/>
                  <wp:docPr id="11" name="Imagen 11" descr="http://upload.wikimedia.org/wikipedia/commons/thumb/5/55/Bohr-atom-PAR.svg/250px-Bohr-atom-PAR.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upload.wikimedia.org/wikipedia/commons/thumb/5/55/Bohr-atom-PAR.svg/250px-Bohr-atom-PAR.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0615" cy="2078355"/>
                          </a:xfrm>
                          <a:prstGeom prst="rect">
                            <a:avLst/>
                          </a:prstGeom>
                          <a:noFill/>
                          <a:ln>
                            <a:noFill/>
                          </a:ln>
                        </pic:spPr>
                      </pic:pic>
                    </a:graphicData>
                  </a:graphic>
                </wp:inline>
              </w:drawing>
            </w:r>
          </w:p>
          <w:p w:rsidR="00ED6ABC" w:rsidRPr="001F6593" w:rsidRDefault="00ED6ABC" w:rsidP="00ED6ABC">
            <w:pPr>
              <w:jc w:val="both"/>
              <w:rPr>
                <w:color w:val="000000"/>
              </w:rPr>
            </w:pPr>
            <w:r w:rsidRPr="001F6593">
              <w:rPr>
                <w:color w:val="000000"/>
              </w:rPr>
              <w:tab/>
            </w:r>
          </w:p>
          <w:p w:rsidR="00ED6ABC" w:rsidRPr="001F6593" w:rsidRDefault="00ED6ABC" w:rsidP="00ED6ABC">
            <w:pPr>
              <w:jc w:val="both"/>
              <w:rPr>
                <w:color w:val="000000"/>
              </w:rPr>
            </w:pPr>
            <w:r w:rsidRPr="001F6593">
              <w:rPr>
                <w:color w:val="000000"/>
              </w:rPr>
              <w:t>En 1913 Bohr publicó una explicación teórica para el espectro atómico del hidrógeno.</w:t>
            </w:r>
          </w:p>
          <w:p w:rsidR="00ED6ABC" w:rsidRPr="001F6593" w:rsidRDefault="00ED6ABC" w:rsidP="00ED6ABC">
            <w:pPr>
              <w:jc w:val="both"/>
              <w:rPr>
                <w:color w:val="000000"/>
              </w:rPr>
            </w:pPr>
            <w:r w:rsidRPr="001F6593">
              <w:rPr>
                <w:color w:val="000000"/>
              </w:rPr>
              <w:t xml:space="preserve">Bohr supuso que el átomo solo puede tener ciertos niveles de energía </w:t>
            </w:r>
            <w:proofErr w:type="spellStart"/>
            <w:r w:rsidRPr="001F6593">
              <w:rPr>
                <w:color w:val="000000"/>
              </w:rPr>
              <w:t>dfinidos</w:t>
            </w:r>
            <w:proofErr w:type="spellEnd"/>
            <w:r w:rsidRPr="001F6593">
              <w:rPr>
                <w:color w:val="000000"/>
              </w:rPr>
              <w:t>.</w:t>
            </w:r>
          </w:p>
          <w:p w:rsidR="00ED6ABC" w:rsidRPr="001F6593" w:rsidRDefault="00ED6ABC" w:rsidP="00ED6ABC">
            <w:pPr>
              <w:jc w:val="both"/>
              <w:rPr>
                <w:color w:val="000000"/>
              </w:rPr>
            </w:pPr>
            <w:r w:rsidRPr="001F6593">
              <w:rPr>
                <w:color w:val="000000"/>
              </w:rPr>
              <w:t>Bohr establece así, que los electrones solo pueden girar en ciertas órbitas de radios determinados. Estas órbitas son estacionarias, en ellas el electrón no emite energía: la energía cinética del electrón equilibra exactamente la atracción electrostática entre las cargas opuestas de núcleo y electrón.</w:t>
            </w:r>
          </w:p>
          <w:p w:rsidR="00ED6ABC" w:rsidRPr="001F6593" w:rsidRDefault="00ED6ABC" w:rsidP="00ED6ABC">
            <w:pPr>
              <w:jc w:val="both"/>
              <w:rPr>
                <w:color w:val="000000"/>
              </w:rPr>
            </w:pPr>
            <w:r w:rsidRPr="001F6593">
              <w:rPr>
                <w:color w:val="000000"/>
              </w:rPr>
              <w:t xml:space="preserve">El electrón solo puede tomar así los valores de energía correspondientes a esas órbitas. Los saltos de los electrones desde niveles de mayor energía a otros de menor energía o viceversa suponen, respectivamente, una emisión o una absorción de energía electromagnética (fotones de luz). </w:t>
            </w:r>
          </w:p>
          <w:p w:rsidR="00ED6ABC" w:rsidRPr="001F6593" w:rsidRDefault="00ED6ABC" w:rsidP="00ED6ABC">
            <w:pPr>
              <w:jc w:val="both"/>
              <w:rPr>
                <w:color w:val="000000"/>
              </w:rPr>
            </w:pPr>
          </w:p>
          <w:p w:rsidR="00ED6ABC" w:rsidRPr="001F6593" w:rsidRDefault="00ED6ABC" w:rsidP="00ED6ABC">
            <w:pPr>
              <w:jc w:val="both"/>
              <w:rPr>
                <w:b/>
                <w:color w:val="000000"/>
              </w:rPr>
            </w:pPr>
            <w:r w:rsidRPr="001F6593">
              <w:rPr>
                <w:b/>
                <w:color w:val="000000"/>
              </w:rPr>
              <w:t>Correcciones al átomo de Bohr.</w:t>
            </w:r>
          </w:p>
          <w:p w:rsidR="00ED6ABC" w:rsidRPr="001F6593" w:rsidRDefault="00ED6ABC" w:rsidP="00ED6ABC">
            <w:pPr>
              <w:jc w:val="both"/>
              <w:rPr>
                <w:color w:val="000000"/>
              </w:rPr>
            </w:pPr>
          </w:p>
          <w:p w:rsidR="00ED6ABC" w:rsidRPr="001F6593" w:rsidRDefault="00ED6ABC" w:rsidP="00ED6ABC">
            <w:pPr>
              <w:jc w:val="both"/>
              <w:rPr>
                <w:color w:val="000000"/>
                <w:u w:val="single"/>
              </w:rPr>
            </w:pPr>
            <w:proofErr w:type="spellStart"/>
            <w:r w:rsidRPr="001F6593">
              <w:rPr>
                <w:color w:val="000000"/>
                <w:u w:val="single"/>
              </w:rPr>
              <w:t>Sommerfeld</w:t>
            </w:r>
            <w:proofErr w:type="spellEnd"/>
            <w:r w:rsidRPr="001F6593">
              <w:rPr>
                <w:color w:val="000000"/>
                <w:u w:val="single"/>
              </w:rPr>
              <w:t xml:space="preserve">  ---Subniveles de energía---</w:t>
            </w:r>
          </w:p>
          <w:p w:rsidR="00ED6ABC" w:rsidRPr="001F6593" w:rsidRDefault="00ED6ABC" w:rsidP="00ED6ABC">
            <w:pPr>
              <w:jc w:val="both"/>
              <w:rPr>
                <w:color w:val="000000"/>
              </w:rPr>
            </w:pPr>
            <w:proofErr w:type="spellStart"/>
            <w:r w:rsidRPr="001F6593">
              <w:rPr>
                <w:color w:val="000000"/>
              </w:rPr>
              <w:t>Sommerfeld</w:t>
            </w:r>
            <w:proofErr w:type="spellEnd"/>
            <w:r w:rsidRPr="001F6593">
              <w:rPr>
                <w:color w:val="000000"/>
              </w:rPr>
              <w:t xml:space="preserve"> dijo que las órbitas podían ser elípticas, esto explicaba el desdoblamiento de las rayas espectrales observadas al realizar los espectros con espectroscopios de mayor resolución. Se determinó que las rayas de los anteriores espectros estaban formadas por varias rayas muy próximas.</w:t>
            </w:r>
          </w:p>
          <w:p w:rsidR="00ED6ABC" w:rsidRPr="001F6593" w:rsidRDefault="00ED6ABC" w:rsidP="00ED6ABC">
            <w:pPr>
              <w:jc w:val="both"/>
              <w:rPr>
                <w:color w:val="000000"/>
              </w:rPr>
            </w:pPr>
            <w:r w:rsidRPr="001F6593">
              <w:rPr>
                <w:color w:val="000000"/>
              </w:rPr>
              <w:t>Los niveles definidos por Bohr serían varios posibles muy próximos.</w:t>
            </w:r>
          </w:p>
          <w:p w:rsidR="00ED6ABC" w:rsidRPr="001F6593" w:rsidRDefault="00ED6ABC" w:rsidP="00ED6ABC">
            <w:pPr>
              <w:jc w:val="both"/>
              <w:rPr>
                <w:color w:val="000000"/>
              </w:rPr>
            </w:pPr>
            <w:r w:rsidRPr="001F6593">
              <w:rPr>
                <w:color w:val="000000"/>
              </w:rPr>
              <w:t>El subnivel viene diferenciado por el 2º número cuántico l (azimutal o secundario</w:t>
            </w:r>
            <w:proofErr w:type="gramStart"/>
            <w:r w:rsidRPr="001F6593">
              <w:rPr>
                <w:color w:val="000000"/>
              </w:rPr>
              <w:t>) .</w:t>
            </w:r>
            <w:proofErr w:type="gramEnd"/>
            <w:r w:rsidRPr="001F6593">
              <w:rPr>
                <w:color w:val="000000"/>
              </w:rPr>
              <w:t xml:space="preserve"> l= 0, 1, 2,</w:t>
            </w:r>
            <w:proofErr w:type="gramStart"/>
            <w:r w:rsidRPr="001F6593">
              <w:rPr>
                <w:color w:val="000000"/>
              </w:rPr>
              <w:t>...(</w:t>
            </w:r>
            <w:proofErr w:type="gramEnd"/>
            <w:r w:rsidRPr="001F6593">
              <w:rPr>
                <w:color w:val="000000"/>
              </w:rPr>
              <w:t>n-1) según la excentricidad de la elipse.</w:t>
            </w:r>
            <w:r w:rsidRPr="001F6593">
              <w:rPr>
                <w:color w:val="000000"/>
              </w:rPr>
              <w:t xml:space="preserve"> Para l= 0 subnivel s</w:t>
            </w:r>
            <w:r w:rsidR="00A16AA4" w:rsidRPr="001F6593">
              <w:rPr>
                <w:color w:val="000000"/>
              </w:rPr>
              <w:t xml:space="preserve"> (2 e, s</w:t>
            </w:r>
            <w:r w:rsidR="00A16AA4" w:rsidRPr="001F6593">
              <w:rPr>
                <w:color w:val="000000"/>
                <w:vertAlign w:val="superscript"/>
              </w:rPr>
              <w:t>2</w:t>
            </w:r>
            <w:r w:rsidR="00A16AA4" w:rsidRPr="001F6593">
              <w:rPr>
                <w:color w:val="000000"/>
              </w:rPr>
              <w:t>)</w:t>
            </w:r>
            <w:r w:rsidRPr="001F6593">
              <w:rPr>
                <w:color w:val="000000"/>
              </w:rPr>
              <w:t>, l=1 subnivel p</w:t>
            </w:r>
            <w:r w:rsidR="00A16AA4" w:rsidRPr="001F6593">
              <w:rPr>
                <w:color w:val="000000"/>
              </w:rPr>
              <w:t xml:space="preserve"> (6 e, p</w:t>
            </w:r>
            <w:r w:rsidR="00A16AA4" w:rsidRPr="001F6593">
              <w:rPr>
                <w:color w:val="000000"/>
                <w:vertAlign w:val="superscript"/>
              </w:rPr>
              <w:t>6</w:t>
            </w:r>
            <w:r w:rsidRPr="001F6593">
              <w:rPr>
                <w:color w:val="000000"/>
              </w:rPr>
              <w:t>, l= 2</w:t>
            </w:r>
            <w:r w:rsidR="00A16AA4" w:rsidRPr="001F6593">
              <w:rPr>
                <w:color w:val="000000"/>
              </w:rPr>
              <w:t xml:space="preserve"> subnivel d (d</w:t>
            </w:r>
            <w:r w:rsidR="00A16AA4" w:rsidRPr="001F6593">
              <w:rPr>
                <w:color w:val="000000"/>
                <w:vertAlign w:val="superscript"/>
              </w:rPr>
              <w:t>10</w:t>
            </w:r>
            <w:r w:rsidR="00A16AA4" w:rsidRPr="001F6593">
              <w:rPr>
                <w:color w:val="000000"/>
              </w:rPr>
              <w:t>)</w:t>
            </w:r>
          </w:p>
          <w:p w:rsidR="00ED6ABC" w:rsidRDefault="00ED6ABC" w:rsidP="00ED6ABC">
            <w:pPr>
              <w:jc w:val="both"/>
              <w:rPr>
                <w:color w:val="000000"/>
              </w:rPr>
            </w:pPr>
          </w:p>
          <w:p w:rsidR="00ED6ABC" w:rsidRPr="001F6593" w:rsidRDefault="00ED6ABC" w:rsidP="00ED6ABC">
            <w:pPr>
              <w:jc w:val="both"/>
              <w:rPr>
                <w:b/>
                <w:color w:val="000000"/>
              </w:rPr>
            </w:pPr>
            <w:r w:rsidRPr="001F6593">
              <w:rPr>
                <w:b/>
                <w:color w:val="000000"/>
              </w:rPr>
              <w:t>Distribución de los electrones dentro del átomo</w:t>
            </w:r>
          </w:p>
          <w:p w:rsidR="00ED6ABC" w:rsidRPr="001F6593" w:rsidRDefault="00ED6ABC" w:rsidP="00ED6ABC">
            <w:pPr>
              <w:jc w:val="both"/>
              <w:rPr>
                <w:color w:val="000000"/>
              </w:rPr>
            </w:pPr>
          </w:p>
          <w:p w:rsidR="00ED6ABC" w:rsidRPr="001F6593" w:rsidRDefault="00ED6ABC" w:rsidP="00ED6ABC">
            <w:pPr>
              <w:jc w:val="both"/>
              <w:rPr>
                <w:color w:val="000000"/>
              </w:rPr>
            </w:pPr>
            <w:r w:rsidRPr="001F6593">
              <w:rPr>
                <w:color w:val="000000"/>
              </w:rPr>
              <w:t xml:space="preserve">Se deben tener en cuenta </w:t>
            </w:r>
            <w:r w:rsidR="00A16AA4" w:rsidRPr="001F6593">
              <w:rPr>
                <w:color w:val="000000"/>
              </w:rPr>
              <w:t>que l</w:t>
            </w:r>
            <w:r w:rsidRPr="001F6593">
              <w:rPr>
                <w:color w:val="000000"/>
              </w:rPr>
              <w:t>os electrones ocupan los niveles de energía menor posible.</w:t>
            </w:r>
          </w:p>
          <w:p w:rsidR="00ED6ABC" w:rsidRPr="001F6593" w:rsidRDefault="00ED6ABC" w:rsidP="00ED6ABC">
            <w:pPr>
              <w:jc w:val="both"/>
              <w:rPr>
                <w:color w:val="000000"/>
              </w:rPr>
            </w:pPr>
            <w:r w:rsidRPr="001F6593">
              <w:rPr>
                <w:color w:val="000000"/>
              </w:rPr>
              <w:t xml:space="preserve">La regla de </w:t>
            </w:r>
            <w:proofErr w:type="spellStart"/>
            <w:r w:rsidRPr="001F6593">
              <w:rPr>
                <w:color w:val="000000"/>
              </w:rPr>
              <w:t>M</w:t>
            </w:r>
            <w:r w:rsidR="00A16AA4" w:rsidRPr="001F6593">
              <w:rPr>
                <w:color w:val="000000"/>
              </w:rPr>
              <w:t>ö</w:t>
            </w:r>
            <w:r w:rsidRPr="001F6593">
              <w:rPr>
                <w:color w:val="000000"/>
              </w:rPr>
              <w:t>eller</w:t>
            </w:r>
            <w:proofErr w:type="spellEnd"/>
            <w:r w:rsidRPr="001F6593">
              <w:rPr>
                <w:color w:val="000000"/>
              </w:rPr>
              <w:t xml:space="preserve"> (conocida de cursos anteriores) tiene e</w:t>
            </w:r>
            <w:r w:rsidR="00A16AA4" w:rsidRPr="001F6593">
              <w:rPr>
                <w:color w:val="000000"/>
              </w:rPr>
              <w:t>n cuenta esta observación</w:t>
            </w:r>
            <w:r w:rsidRPr="001F6593">
              <w:rPr>
                <w:color w:val="000000"/>
              </w:rPr>
              <w:t xml:space="preserve"> y permite realizar de forma rápida la distribución de los electrones en un átomo determinado</w:t>
            </w:r>
          </w:p>
          <w:p w:rsidR="00ED6ABC" w:rsidRPr="001F6593" w:rsidRDefault="00ED6ABC" w:rsidP="00ED6ABC">
            <w:pPr>
              <w:jc w:val="both"/>
              <w:rPr>
                <w:color w:val="000000"/>
              </w:rPr>
            </w:pPr>
          </w:p>
          <w:p w:rsidR="00ED6ABC" w:rsidRPr="001F6593" w:rsidRDefault="00ED6ABC" w:rsidP="00ED6ABC">
            <w:pPr>
              <w:jc w:val="both"/>
              <w:rPr>
                <w:b/>
                <w:color w:val="000000"/>
              </w:rPr>
            </w:pPr>
            <w:r w:rsidRPr="001F6593">
              <w:rPr>
                <w:b/>
                <w:color w:val="000000"/>
              </w:rPr>
              <w:t>Modelo actual del átomo:</w:t>
            </w:r>
          </w:p>
          <w:p w:rsidR="00ED6ABC" w:rsidRPr="001F6593" w:rsidRDefault="00ED6ABC" w:rsidP="00ED6ABC">
            <w:pPr>
              <w:jc w:val="both"/>
              <w:rPr>
                <w:color w:val="000000"/>
              </w:rPr>
            </w:pPr>
          </w:p>
          <w:p w:rsidR="00ED6ABC" w:rsidRPr="001F6593" w:rsidRDefault="00ED6ABC" w:rsidP="00A16AA4">
            <w:pPr>
              <w:jc w:val="both"/>
              <w:rPr>
                <w:color w:val="000000"/>
              </w:rPr>
            </w:pPr>
            <w:r w:rsidRPr="001F6593">
              <w:rPr>
                <w:color w:val="000000"/>
              </w:rPr>
              <w:t>El electrón se considera una especie de nube de carga negativ</w:t>
            </w:r>
            <w:r w:rsidR="00A16AA4" w:rsidRPr="001F6593">
              <w:rPr>
                <w:color w:val="000000"/>
              </w:rPr>
              <w:t xml:space="preserve">a dispersa alrededor del núcleo que </w:t>
            </w:r>
            <w:r w:rsidRPr="001F6593">
              <w:rPr>
                <w:color w:val="000000"/>
              </w:rPr>
              <w:t xml:space="preserve">se conoce con el nombre de </w:t>
            </w:r>
            <w:proofErr w:type="spellStart"/>
            <w:r w:rsidRPr="001F6593">
              <w:rPr>
                <w:color w:val="000000"/>
              </w:rPr>
              <w:t>órbital.</w:t>
            </w:r>
            <w:r w:rsidR="00804F6A">
              <w:rPr>
                <w:color w:val="000000"/>
              </w:rPr>
              <w:t>Tiene</w:t>
            </w:r>
            <w:proofErr w:type="spellEnd"/>
            <w:r w:rsidR="00804F6A">
              <w:rPr>
                <w:color w:val="000000"/>
              </w:rPr>
              <w:t xml:space="preserve"> diferentes formas según los subniveles de energía a los que corresponde</w:t>
            </w:r>
            <w:bookmarkStart w:id="0" w:name="_GoBack"/>
            <w:bookmarkEnd w:id="0"/>
          </w:p>
        </w:tc>
      </w:tr>
    </w:tbl>
    <w:p w:rsidR="008E7FF9" w:rsidRPr="00AF5D2E" w:rsidRDefault="008E7FF9" w:rsidP="00AF5D2E">
      <w:pPr>
        <w:rPr>
          <w:vanish/>
        </w:rPr>
      </w:pPr>
    </w:p>
    <w:sectPr w:rsidR="008E7FF9" w:rsidRPr="00AF5D2E" w:rsidSect="000A55DA">
      <w:pgSz w:w="11906" w:h="16838"/>
      <w:pgMar w:top="993"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27E77"/>
    <w:multiLevelType w:val="hybridMultilevel"/>
    <w:tmpl w:val="3814AD30"/>
    <w:lvl w:ilvl="0" w:tplc="253CD55E">
      <w:numFmt w:val="bullet"/>
      <w:lvlText w:val=""/>
      <w:lvlJc w:val="left"/>
      <w:pPr>
        <w:ind w:left="420" w:hanging="360"/>
      </w:pPr>
      <w:rPr>
        <w:rFonts w:ascii="Symbol" w:eastAsia="Times New Roman" w:hAnsi="Symbol" w:cs="Arial" w:hint="default"/>
        <w:color w:val="auto"/>
        <w:sz w:val="20"/>
      </w:rPr>
    </w:lvl>
    <w:lvl w:ilvl="1" w:tplc="040A0003" w:tentative="1">
      <w:start w:val="1"/>
      <w:numFmt w:val="bullet"/>
      <w:lvlText w:val="o"/>
      <w:lvlJc w:val="left"/>
      <w:pPr>
        <w:ind w:left="1140" w:hanging="360"/>
      </w:pPr>
      <w:rPr>
        <w:rFonts w:ascii="Courier New" w:hAnsi="Courier New" w:cs="Courier New" w:hint="default"/>
      </w:rPr>
    </w:lvl>
    <w:lvl w:ilvl="2" w:tplc="040A0005" w:tentative="1">
      <w:start w:val="1"/>
      <w:numFmt w:val="bullet"/>
      <w:lvlText w:val=""/>
      <w:lvlJc w:val="left"/>
      <w:pPr>
        <w:ind w:left="1860" w:hanging="360"/>
      </w:pPr>
      <w:rPr>
        <w:rFonts w:ascii="Wingdings" w:hAnsi="Wingdings" w:hint="default"/>
      </w:rPr>
    </w:lvl>
    <w:lvl w:ilvl="3" w:tplc="040A0001" w:tentative="1">
      <w:start w:val="1"/>
      <w:numFmt w:val="bullet"/>
      <w:lvlText w:val=""/>
      <w:lvlJc w:val="left"/>
      <w:pPr>
        <w:ind w:left="2580" w:hanging="360"/>
      </w:pPr>
      <w:rPr>
        <w:rFonts w:ascii="Symbol" w:hAnsi="Symbol" w:hint="default"/>
      </w:rPr>
    </w:lvl>
    <w:lvl w:ilvl="4" w:tplc="040A0003" w:tentative="1">
      <w:start w:val="1"/>
      <w:numFmt w:val="bullet"/>
      <w:lvlText w:val="o"/>
      <w:lvlJc w:val="left"/>
      <w:pPr>
        <w:ind w:left="3300" w:hanging="360"/>
      </w:pPr>
      <w:rPr>
        <w:rFonts w:ascii="Courier New" w:hAnsi="Courier New" w:cs="Courier New" w:hint="default"/>
      </w:rPr>
    </w:lvl>
    <w:lvl w:ilvl="5" w:tplc="040A0005" w:tentative="1">
      <w:start w:val="1"/>
      <w:numFmt w:val="bullet"/>
      <w:lvlText w:val=""/>
      <w:lvlJc w:val="left"/>
      <w:pPr>
        <w:ind w:left="4020" w:hanging="360"/>
      </w:pPr>
      <w:rPr>
        <w:rFonts w:ascii="Wingdings" w:hAnsi="Wingdings" w:hint="default"/>
      </w:rPr>
    </w:lvl>
    <w:lvl w:ilvl="6" w:tplc="040A0001" w:tentative="1">
      <w:start w:val="1"/>
      <w:numFmt w:val="bullet"/>
      <w:lvlText w:val=""/>
      <w:lvlJc w:val="left"/>
      <w:pPr>
        <w:ind w:left="4740" w:hanging="360"/>
      </w:pPr>
      <w:rPr>
        <w:rFonts w:ascii="Symbol" w:hAnsi="Symbol" w:hint="default"/>
      </w:rPr>
    </w:lvl>
    <w:lvl w:ilvl="7" w:tplc="040A0003" w:tentative="1">
      <w:start w:val="1"/>
      <w:numFmt w:val="bullet"/>
      <w:lvlText w:val="o"/>
      <w:lvlJc w:val="left"/>
      <w:pPr>
        <w:ind w:left="5460" w:hanging="360"/>
      </w:pPr>
      <w:rPr>
        <w:rFonts w:ascii="Courier New" w:hAnsi="Courier New" w:cs="Courier New" w:hint="default"/>
      </w:rPr>
    </w:lvl>
    <w:lvl w:ilvl="8" w:tplc="040A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BD9"/>
    <w:rsid w:val="000A55DA"/>
    <w:rsid w:val="001C5949"/>
    <w:rsid w:val="001F6593"/>
    <w:rsid w:val="00237597"/>
    <w:rsid w:val="002506E9"/>
    <w:rsid w:val="004C331E"/>
    <w:rsid w:val="004E21F6"/>
    <w:rsid w:val="00534466"/>
    <w:rsid w:val="00550DF0"/>
    <w:rsid w:val="00556911"/>
    <w:rsid w:val="00586BD9"/>
    <w:rsid w:val="00611399"/>
    <w:rsid w:val="00623EEF"/>
    <w:rsid w:val="00804F6A"/>
    <w:rsid w:val="0082586E"/>
    <w:rsid w:val="008E7FF9"/>
    <w:rsid w:val="009E6C8E"/>
    <w:rsid w:val="00A16AA4"/>
    <w:rsid w:val="00AF2EBE"/>
    <w:rsid w:val="00AF5D2E"/>
    <w:rsid w:val="00B34A07"/>
    <w:rsid w:val="00B64902"/>
    <w:rsid w:val="00BA4470"/>
    <w:rsid w:val="00C33521"/>
    <w:rsid w:val="00D65C9C"/>
    <w:rsid w:val="00DA2F0A"/>
    <w:rsid w:val="00E3190B"/>
    <w:rsid w:val="00E54A78"/>
    <w:rsid w:val="00EA2AA1"/>
    <w:rsid w:val="00ED6ABC"/>
    <w:rsid w:val="00F132D7"/>
    <w:rsid w:val="00F14BDF"/>
    <w:rsid w:val="00F64DC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2">
    <w:name w:val="heading 2"/>
    <w:basedOn w:val="Normal"/>
    <w:next w:val="Normal"/>
    <w:link w:val="Ttulo2Car"/>
    <w:qFormat/>
    <w:rsid w:val="004E21F6"/>
    <w:pPr>
      <w:keepNext/>
      <w:ind w:left="-180" w:right="174"/>
      <w:jc w:val="both"/>
      <w:outlineLvl w:val="1"/>
    </w:pPr>
    <w:rPr>
      <w:b/>
      <w:bCs/>
      <w:i/>
      <w:iCs/>
      <w:sz w:val="28"/>
      <w:u w:val="single"/>
    </w:rPr>
  </w:style>
  <w:style w:type="paragraph" w:styleId="Ttulo4">
    <w:name w:val="heading 4"/>
    <w:basedOn w:val="Normal"/>
    <w:next w:val="Normal"/>
    <w:link w:val="Ttulo4Car"/>
    <w:qFormat/>
    <w:rsid w:val="004E21F6"/>
    <w:pPr>
      <w:keepNext/>
      <w:ind w:firstLine="708"/>
      <w:outlineLvl w:val="3"/>
    </w:pPr>
    <w:rPr>
      <w:b/>
      <w:bCs/>
      <w:i/>
      <w:iCs/>
      <w:u w:val="singl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54A78"/>
    <w:rPr>
      <w:rFonts w:ascii="Tahoma" w:hAnsi="Tahoma" w:cs="Tahoma"/>
      <w:sz w:val="16"/>
      <w:szCs w:val="16"/>
    </w:rPr>
  </w:style>
  <w:style w:type="character" w:customStyle="1" w:styleId="TextodegloboCar">
    <w:name w:val="Texto de globo Car"/>
    <w:basedOn w:val="Fuentedeprrafopredeter"/>
    <w:link w:val="Textodeglobo"/>
    <w:uiPriority w:val="99"/>
    <w:semiHidden/>
    <w:rsid w:val="00E54A78"/>
    <w:rPr>
      <w:rFonts w:ascii="Tahoma" w:hAnsi="Tahoma" w:cs="Tahoma"/>
      <w:sz w:val="16"/>
      <w:szCs w:val="16"/>
      <w:lang w:val="es-ES" w:eastAsia="es-ES"/>
    </w:rPr>
  </w:style>
  <w:style w:type="character" w:styleId="Textodelmarcadordeposicin">
    <w:name w:val="Placeholder Text"/>
    <w:basedOn w:val="Fuentedeprrafopredeter"/>
    <w:uiPriority w:val="99"/>
    <w:semiHidden/>
    <w:rsid w:val="00E54A78"/>
    <w:rPr>
      <w:color w:val="808080"/>
    </w:rPr>
  </w:style>
  <w:style w:type="character" w:customStyle="1" w:styleId="Ttulo2Car">
    <w:name w:val="Título 2 Car"/>
    <w:basedOn w:val="Fuentedeprrafopredeter"/>
    <w:link w:val="Ttulo2"/>
    <w:rsid w:val="004E21F6"/>
    <w:rPr>
      <w:b/>
      <w:bCs/>
      <w:i/>
      <w:iCs/>
      <w:sz w:val="28"/>
      <w:szCs w:val="24"/>
      <w:u w:val="single"/>
      <w:lang w:val="es-ES" w:eastAsia="es-ES"/>
    </w:rPr>
  </w:style>
  <w:style w:type="character" w:customStyle="1" w:styleId="Ttulo4Car">
    <w:name w:val="Título 4 Car"/>
    <w:basedOn w:val="Fuentedeprrafopredeter"/>
    <w:link w:val="Ttulo4"/>
    <w:rsid w:val="004E21F6"/>
    <w:rPr>
      <w:b/>
      <w:bCs/>
      <w:i/>
      <w:iCs/>
      <w:sz w:val="24"/>
      <w:szCs w:val="24"/>
      <w:u w:val="single"/>
      <w:lang w:val="es-ES" w:eastAsia="es-ES"/>
    </w:rPr>
  </w:style>
  <w:style w:type="paragraph" w:styleId="Sangra2detindependiente">
    <w:name w:val="Body Text Indent 2"/>
    <w:basedOn w:val="Normal"/>
    <w:link w:val="Sangra2detindependienteCar"/>
    <w:semiHidden/>
    <w:rsid w:val="004E21F6"/>
    <w:pPr>
      <w:ind w:left="60"/>
    </w:pPr>
  </w:style>
  <w:style w:type="character" w:customStyle="1" w:styleId="Sangra2detindependienteCar">
    <w:name w:val="Sangría 2 de t. independiente Car"/>
    <w:basedOn w:val="Fuentedeprrafopredeter"/>
    <w:link w:val="Sangra2detindependiente"/>
    <w:semiHidden/>
    <w:rsid w:val="004E21F6"/>
    <w:rPr>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2">
    <w:name w:val="heading 2"/>
    <w:basedOn w:val="Normal"/>
    <w:next w:val="Normal"/>
    <w:link w:val="Ttulo2Car"/>
    <w:qFormat/>
    <w:rsid w:val="004E21F6"/>
    <w:pPr>
      <w:keepNext/>
      <w:ind w:left="-180" w:right="174"/>
      <w:jc w:val="both"/>
      <w:outlineLvl w:val="1"/>
    </w:pPr>
    <w:rPr>
      <w:b/>
      <w:bCs/>
      <w:i/>
      <w:iCs/>
      <w:sz w:val="28"/>
      <w:u w:val="single"/>
    </w:rPr>
  </w:style>
  <w:style w:type="paragraph" w:styleId="Ttulo4">
    <w:name w:val="heading 4"/>
    <w:basedOn w:val="Normal"/>
    <w:next w:val="Normal"/>
    <w:link w:val="Ttulo4Car"/>
    <w:qFormat/>
    <w:rsid w:val="004E21F6"/>
    <w:pPr>
      <w:keepNext/>
      <w:ind w:firstLine="708"/>
      <w:outlineLvl w:val="3"/>
    </w:pPr>
    <w:rPr>
      <w:b/>
      <w:bCs/>
      <w:i/>
      <w:iCs/>
      <w:u w:val="singl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54A78"/>
    <w:rPr>
      <w:rFonts w:ascii="Tahoma" w:hAnsi="Tahoma" w:cs="Tahoma"/>
      <w:sz w:val="16"/>
      <w:szCs w:val="16"/>
    </w:rPr>
  </w:style>
  <w:style w:type="character" w:customStyle="1" w:styleId="TextodegloboCar">
    <w:name w:val="Texto de globo Car"/>
    <w:basedOn w:val="Fuentedeprrafopredeter"/>
    <w:link w:val="Textodeglobo"/>
    <w:uiPriority w:val="99"/>
    <w:semiHidden/>
    <w:rsid w:val="00E54A78"/>
    <w:rPr>
      <w:rFonts w:ascii="Tahoma" w:hAnsi="Tahoma" w:cs="Tahoma"/>
      <w:sz w:val="16"/>
      <w:szCs w:val="16"/>
      <w:lang w:val="es-ES" w:eastAsia="es-ES"/>
    </w:rPr>
  </w:style>
  <w:style w:type="character" w:styleId="Textodelmarcadordeposicin">
    <w:name w:val="Placeholder Text"/>
    <w:basedOn w:val="Fuentedeprrafopredeter"/>
    <w:uiPriority w:val="99"/>
    <w:semiHidden/>
    <w:rsid w:val="00E54A78"/>
    <w:rPr>
      <w:color w:val="808080"/>
    </w:rPr>
  </w:style>
  <w:style w:type="character" w:customStyle="1" w:styleId="Ttulo2Car">
    <w:name w:val="Título 2 Car"/>
    <w:basedOn w:val="Fuentedeprrafopredeter"/>
    <w:link w:val="Ttulo2"/>
    <w:rsid w:val="004E21F6"/>
    <w:rPr>
      <w:b/>
      <w:bCs/>
      <w:i/>
      <w:iCs/>
      <w:sz w:val="28"/>
      <w:szCs w:val="24"/>
      <w:u w:val="single"/>
      <w:lang w:val="es-ES" w:eastAsia="es-ES"/>
    </w:rPr>
  </w:style>
  <w:style w:type="character" w:customStyle="1" w:styleId="Ttulo4Car">
    <w:name w:val="Título 4 Car"/>
    <w:basedOn w:val="Fuentedeprrafopredeter"/>
    <w:link w:val="Ttulo4"/>
    <w:rsid w:val="004E21F6"/>
    <w:rPr>
      <w:b/>
      <w:bCs/>
      <w:i/>
      <w:iCs/>
      <w:sz w:val="24"/>
      <w:szCs w:val="24"/>
      <w:u w:val="single"/>
      <w:lang w:val="es-ES" w:eastAsia="es-ES"/>
    </w:rPr>
  </w:style>
  <w:style w:type="paragraph" w:styleId="Sangra2detindependiente">
    <w:name w:val="Body Text Indent 2"/>
    <w:basedOn w:val="Normal"/>
    <w:link w:val="Sangra2detindependienteCar"/>
    <w:semiHidden/>
    <w:rsid w:val="004E21F6"/>
    <w:pPr>
      <w:ind w:left="60"/>
    </w:pPr>
  </w:style>
  <w:style w:type="character" w:customStyle="1" w:styleId="Sangra2detindependienteCar">
    <w:name w:val="Sangría 2 de t. independiente Car"/>
    <w:basedOn w:val="Fuentedeprrafopredeter"/>
    <w:link w:val="Sangra2detindependiente"/>
    <w:semiHidden/>
    <w:rsid w:val="004E21F6"/>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14F0C-D8EB-4D39-85E1-20E3149C3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1413</Words>
  <Characters>7877</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Descubrimiento del electrón</vt:lpstr>
    </vt:vector>
  </TitlesOfParts>
  <Company>5</Company>
  <LinksUpToDate>false</LinksUpToDate>
  <CharactersWithSpaces>9272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Descubrimiento del electrón</dc:title>
  <dc:creator>Mamá</dc:creator>
  <cp:lastModifiedBy>MAMA</cp:lastModifiedBy>
  <cp:revision>2</cp:revision>
  <cp:lastPrinted>2005-12-20T21:05:00Z</cp:lastPrinted>
  <dcterms:created xsi:type="dcterms:W3CDTF">2013-10-10T19:01:00Z</dcterms:created>
  <dcterms:modified xsi:type="dcterms:W3CDTF">2013-10-10T19:01:00Z</dcterms:modified>
</cp:coreProperties>
</file>